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D796" w14:textId="77777777" w:rsidR="008366AE" w:rsidRPr="003D15D0" w:rsidRDefault="008366AE" w:rsidP="008366AE">
      <w:pPr>
        <w:spacing w:line="240" w:lineRule="auto"/>
        <w:jc w:val="center"/>
        <w:rPr>
          <w:rFonts w:ascii="Times New Roman" w:hAnsi="Times New Roman"/>
          <w:b/>
          <w:bCs/>
        </w:rPr>
      </w:pPr>
      <w:r w:rsidRPr="003D15D0">
        <w:rPr>
          <w:rFonts w:ascii="Times New Roman" w:hAnsi="Times New Roman"/>
          <w:b/>
          <w:bCs/>
        </w:rPr>
        <w:t>Arts and Sciences Curriculum Committee</w:t>
      </w:r>
    </w:p>
    <w:p w14:paraId="6E9F6178" w14:textId="309BF28E" w:rsidR="008366AE" w:rsidRPr="003D15D0" w:rsidRDefault="0020079D" w:rsidP="008366AE">
      <w:pPr>
        <w:spacing w:line="240" w:lineRule="auto"/>
        <w:jc w:val="center"/>
        <w:rPr>
          <w:rFonts w:ascii="Times New Roman" w:hAnsi="Times New Roman"/>
        </w:rPr>
      </w:pPr>
      <w:r>
        <w:rPr>
          <w:rFonts w:ascii="Times New Roman" w:hAnsi="Times New Roman"/>
        </w:rPr>
        <w:t>Unapproved</w:t>
      </w:r>
      <w:r w:rsidR="008366AE" w:rsidRPr="003D15D0">
        <w:rPr>
          <w:rFonts w:ascii="Times New Roman" w:hAnsi="Times New Roman"/>
        </w:rPr>
        <w:t xml:space="preserve"> Minutes</w:t>
      </w:r>
    </w:p>
    <w:p w14:paraId="736B1979" w14:textId="466BE71E" w:rsidR="008366AE" w:rsidRPr="003D15D0" w:rsidRDefault="008366AE" w:rsidP="008366AE">
      <w:pPr>
        <w:spacing w:line="240" w:lineRule="auto"/>
        <w:rPr>
          <w:rFonts w:ascii="Times New Roman" w:hAnsi="Times New Roman"/>
        </w:rPr>
      </w:pPr>
      <w:r w:rsidRPr="003D15D0">
        <w:rPr>
          <w:rFonts w:ascii="Times New Roman" w:hAnsi="Times New Roman"/>
        </w:rPr>
        <w:t xml:space="preserve">Friday, October </w:t>
      </w:r>
      <w:r w:rsidR="000D35AE">
        <w:rPr>
          <w:rFonts w:ascii="Times New Roman" w:hAnsi="Times New Roman"/>
        </w:rPr>
        <w:t>24</w:t>
      </w:r>
      <w:r w:rsidR="000D35AE" w:rsidRPr="000D35AE">
        <w:rPr>
          <w:rFonts w:ascii="Times New Roman" w:hAnsi="Times New Roman"/>
          <w:vertAlign w:val="superscript"/>
        </w:rPr>
        <w:t>th</w:t>
      </w:r>
      <w:r w:rsidRPr="003D15D0">
        <w:rPr>
          <w:rFonts w:ascii="Times New Roman" w:hAnsi="Times New Roman"/>
        </w:rPr>
        <w:t>, 2025</w:t>
      </w:r>
      <w:r w:rsidRPr="003D15D0">
        <w:rPr>
          <w:rFonts w:ascii="Times New Roman" w:hAnsi="Times New Roman"/>
        </w:rPr>
        <w:tab/>
      </w:r>
      <w:r w:rsidRPr="003D15D0">
        <w:rPr>
          <w:rFonts w:ascii="Times New Roman" w:hAnsi="Times New Roman"/>
        </w:rPr>
        <w:tab/>
      </w:r>
      <w:r w:rsidRPr="003D15D0">
        <w:rPr>
          <w:rFonts w:ascii="Times New Roman" w:hAnsi="Times New Roman"/>
        </w:rPr>
        <w:tab/>
      </w:r>
      <w:r w:rsidRPr="003D15D0">
        <w:rPr>
          <w:rFonts w:ascii="Times New Roman" w:hAnsi="Times New Roman"/>
        </w:rPr>
        <w:tab/>
      </w:r>
      <w:r w:rsidRPr="003D15D0">
        <w:rPr>
          <w:rFonts w:ascii="Times New Roman" w:hAnsi="Times New Roman"/>
        </w:rPr>
        <w:tab/>
      </w:r>
      <w:r w:rsidRPr="003D15D0">
        <w:rPr>
          <w:rFonts w:ascii="Times New Roman" w:hAnsi="Times New Roman"/>
        </w:rPr>
        <w:tab/>
        <w:t xml:space="preserve">               9:00AM – 11:00AM</w:t>
      </w:r>
    </w:p>
    <w:p w14:paraId="6EBD31E9" w14:textId="77777777" w:rsidR="008366AE" w:rsidRPr="003D15D0" w:rsidRDefault="008366AE" w:rsidP="008366AE">
      <w:pPr>
        <w:spacing w:line="240" w:lineRule="auto"/>
        <w:rPr>
          <w:rFonts w:ascii="Times New Roman" w:hAnsi="Times New Roman"/>
        </w:rPr>
      </w:pPr>
      <w:r w:rsidRPr="003D15D0">
        <w:rPr>
          <w:rFonts w:ascii="Times New Roman" w:hAnsi="Times New Roman"/>
        </w:rPr>
        <w:t xml:space="preserve">University 156 </w:t>
      </w:r>
    </w:p>
    <w:p w14:paraId="7E84FFDB" w14:textId="76150453" w:rsidR="00DE1ACD" w:rsidRPr="003D15D0" w:rsidRDefault="008366AE" w:rsidP="008366AE">
      <w:pPr>
        <w:rPr>
          <w:rFonts w:ascii="Times New Roman" w:hAnsi="Times New Roman"/>
        </w:rPr>
      </w:pPr>
      <w:r w:rsidRPr="003D15D0">
        <w:rPr>
          <w:rFonts w:ascii="Times New Roman" w:hAnsi="Times New Roman"/>
          <w:b/>
          <w:bCs/>
        </w:rPr>
        <w:t>Attendees</w:t>
      </w:r>
      <w:r w:rsidRPr="003D15D0">
        <w:rPr>
          <w:rFonts w:ascii="Times New Roman" w:hAnsi="Times New Roman"/>
        </w:rPr>
        <w:t>: Acuff, Bitters, Dwyer, Gilbo, Heckler, Hedgecoth, Jenkins, Lee, Martin, Nagar, Romero, Sims, S</w:t>
      </w:r>
      <w:r w:rsidR="000D35AE" w:rsidRPr="000D35AE">
        <w:rPr>
          <w:rFonts w:ascii="Times New Roman" w:hAnsi="Times New Roman"/>
        </w:rPr>
        <w:t>ø</w:t>
      </w:r>
      <w:r w:rsidRPr="003D15D0">
        <w:rPr>
          <w:rFonts w:ascii="Times New Roman" w:hAnsi="Times New Roman"/>
        </w:rPr>
        <w:t>land, Staley, Steele, Tuxbury-Gleissner, Xiao, Vankeerbergen</w:t>
      </w:r>
    </w:p>
    <w:p w14:paraId="6E81A840" w14:textId="60674048" w:rsidR="008366AE" w:rsidRPr="003D15D0" w:rsidRDefault="008366AE" w:rsidP="008366AE">
      <w:pPr>
        <w:rPr>
          <w:rFonts w:ascii="Times New Roman" w:hAnsi="Times New Roman"/>
          <w:b/>
          <w:bCs/>
        </w:rPr>
      </w:pPr>
      <w:r w:rsidRPr="003D15D0">
        <w:rPr>
          <w:rFonts w:ascii="Times New Roman" w:hAnsi="Times New Roman"/>
          <w:b/>
          <w:bCs/>
        </w:rPr>
        <w:t>Agenda</w:t>
      </w:r>
    </w:p>
    <w:p w14:paraId="58662C40" w14:textId="77777777" w:rsidR="000E18E5" w:rsidRPr="003D15D0" w:rsidRDefault="000E18E5" w:rsidP="000E18E5">
      <w:pPr>
        <w:pStyle w:val="ListParagraph"/>
        <w:numPr>
          <w:ilvl w:val="0"/>
          <w:numId w:val="5"/>
        </w:numPr>
        <w:rPr>
          <w:rFonts w:ascii="Times New Roman" w:hAnsi="Times New Roman"/>
        </w:rPr>
      </w:pPr>
      <w:r w:rsidRPr="003D15D0">
        <w:rPr>
          <w:rFonts w:ascii="Times New Roman" w:hAnsi="Times New Roman"/>
        </w:rPr>
        <w:t>Approval of 10-03-2025 minutes</w:t>
      </w:r>
    </w:p>
    <w:p w14:paraId="02EBE859" w14:textId="62878F94" w:rsidR="000E18E5" w:rsidRPr="003D15D0" w:rsidRDefault="000E18E5" w:rsidP="000E18E5">
      <w:pPr>
        <w:pStyle w:val="ListParagraph"/>
        <w:numPr>
          <w:ilvl w:val="1"/>
          <w:numId w:val="5"/>
        </w:numPr>
        <w:rPr>
          <w:rFonts w:ascii="Times New Roman" w:eastAsiaTheme="minorHAnsi" w:hAnsi="Times New Roman"/>
        </w:rPr>
      </w:pPr>
      <w:r w:rsidRPr="003D15D0">
        <w:rPr>
          <w:rFonts w:ascii="Times New Roman" w:hAnsi="Times New Roman"/>
        </w:rPr>
        <w:t>Hedgecoth, Soland; approved with three abstentions</w:t>
      </w:r>
      <w:r w:rsidR="00452674">
        <w:rPr>
          <w:rFonts w:ascii="Times New Roman" w:hAnsi="Times New Roman"/>
        </w:rPr>
        <w:t>.</w:t>
      </w:r>
    </w:p>
    <w:p w14:paraId="62BC66DE" w14:textId="77777777" w:rsidR="000E18E5" w:rsidRPr="00E22A4C" w:rsidRDefault="000E18E5" w:rsidP="000E18E5">
      <w:pPr>
        <w:pStyle w:val="ListParagraph"/>
        <w:numPr>
          <w:ilvl w:val="0"/>
          <w:numId w:val="5"/>
        </w:numPr>
        <w:rPr>
          <w:rFonts w:ascii="Times New Roman" w:hAnsi="Times New Roman"/>
        </w:rPr>
      </w:pPr>
      <w:r w:rsidRPr="00E22A4C">
        <w:rPr>
          <w:rFonts w:ascii="Times New Roman" w:hAnsi="Times New Roman"/>
        </w:rPr>
        <w:t>Revision to the Greek and Latin MA/PhD (Guests: Alan Ross and Leah Bauer)</w:t>
      </w:r>
    </w:p>
    <w:p w14:paraId="41FDFBE4" w14:textId="570DD463" w:rsidR="000E18E5" w:rsidRPr="00E22A4C" w:rsidRDefault="00FD17F8" w:rsidP="008B5297">
      <w:pPr>
        <w:pStyle w:val="ListParagraph"/>
        <w:numPr>
          <w:ilvl w:val="1"/>
          <w:numId w:val="5"/>
        </w:numPr>
        <w:rPr>
          <w:rFonts w:ascii="Times New Roman" w:hAnsi="Times New Roman"/>
        </w:rPr>
      </w:pPr>
      <w:r w:rsidRPr="00E22A4C">
        <w:rPr>
          <w:rFonts w:ascii="Times New Roman" w:hAnsi="Times New Roman"/>
        </w:rPr>
        <w:t xml:space="preserve">On Tuesday, September 30, 2025, Arts and Humanities Subcommittee 2 reviewed a proposal from the Department of Classics to revise the PhD </w:t>
      </w:r>
      <w:r w:rsidR="008B5297" w:rsidRPr="00E22A4C">
        <w:rPr>
          <w:rFonts w:ascii="Times New Roman" w:hAnsi="Times New Roman"/>
        </w:rPr>
        <w:t xml:space="preserve">and Master of Arts </w:t>
      </w:r>
      <w:r w:rsidRPr="00E22A4C">
        <w:rPr>
          <w:rFonts w:ascii="Times New Roman" w:hAnsi="Times New Roman"/>
        </w:rPr>
        <w:t>program</w:t>
      </w:r>
      <w:r w:rsidR="008B5297" w:rsidRPr="00E22A4C">
        <w:rPr>
          <w:rFonts w:ascii="Times New Roman" w:hAnsi="Times New Roman"/>
        </w:rPr>
        <w:t>s</w:t>
      </w:r>
      <w:r w:rsidRPr="00E22A4C">
        <w:rPr>
          <w:rFonts w:ascii="Times New Roman" w:hAnsi="Times New Roman"/>
        </w:rPr>
        <w:t xml:space="preserve"> in Greek and Latin</w:t>
      </w:r>
      <w:r w:rsidR="008B5297" w:rsidRPr="00E22A4C">
        <w:rPr>
          <w:rFonts w:ascii="Times New Roman" w:hAnsi="Times New Roman"/>
        </w:rPr>
        <w:t>,</w:t>
      </w:r>
      <w:r w:rsidRPr="00E22A4C">
        <w:rPr>
          <w:rFonts w:ascii="Times New Roman" w:hAnsi="Times New Roman"/>
        </w:rPr>
        <w:t xml:space="preserve"> effective Autumn 2026.</w:t>
      </w:r>
      <w:r w:rsidR="008B5297" w:rsidRPr="00E22A4C">
        <w:rPr>
          <w:rFonts w:ascii="Times New Roman" w:hAnsi="Times New Roman"/>
        </w:rPr>
        <w:t xml:space="preserve"> </w:t>
      </w:r>
      <w:r w:rsidRPr="00E22A4C">
        <w:rPr>
          <w:rFonts w:ascii="Times New Roman" w:hAnsi="Times New Roman"/>
        </w:rPr>
        <w:t xml:space="preserve">Classics proposes </w:t>
      </w:r>
      <w:r w:rsidR="008B5297" w:rsidRPr="00E22A4C">
        <w:rPr>
          <w:rFonts w:ascii="Times New Roman" w:hAnsi="Times New Roman"/>
        </w:rPr>
        <w:t>to a</w:t>
      </w:r>
      <w:r w:rsidRPr="00E22A4C">
        <w:rPr>
          <w:rFonts w:ascii="Times New Roman" w:hAnsi="Times New Roman"/>
        </w:rPr>
        <w:t>dd two new core courses</w:t>
      </w:r>
      <w:r w:rsidR="008B5297" w:rsidRPr="00E22A4C">
        <w:rPr>
          <w:rFonts w:ascii="Times New Roman" w:hAnsi="Times New Roman"/>
        </w:rPr>
        <w:t xml:space="preserve">. One of which, </w:t>
      </w:r>
      <w:r w:rsidRPr="00E22A4C">
        <w:rPr>
          <w:rFonts w:ascii="Times New Roman" w:hAnsi="Times New Roman"/>
        </w:rPr>
        <w:t>Classics 6001: Proseminar</w:t>
      </w:r>
      <w:r w:rsidR="008B5297" w:rsidRPr="00E22A4C">
        <w:rPr>
          <w:rFonts w:ascii="Times New Roman" w:hAnsi="Times New Roman"/>
        </w:rPr>
        <w:t>,</w:t>
      </w:r>
      <w:r w:rsidR="008B5297" w:rsidRPr="00E22A4C">
        <w:rPr>
          <w:rFonts w:ascii="Times New Roman" w:hAnsi="Times New Roman"/>
          <w:i/>
          <w:iCs/>
        </w:rPr>
        <w:t xml:space="preserve"> </w:t>
      </w:r>
      <w:r w:rsidR="00D21F62">
        <w:rPr>
          <w:rFonts w:ascii="Times New Roman" w:hAnsi="Times New Roman"/>
        </w:rPr>
        <w:t>will</w:t>
      </w:r>
      <w:r w:rsidRPr="00E22A4C">
        <w:rPr>
          <w:rFonts w:ascii="Times New Roman" w:hAnsi="Times New Roman"/>
        </w:rPr>
        <w:t xml:space="preserve"> become a core requirement for both Candidacy and the Terminal MA</w:t>
      </w:r>
      <w:r w:rsidR="008B5297" w:rsidRPr="00E22A4C">
        <w:rPr>
          <w:rFonts w:ascii="Times New Roman" w:hAnsi="Times New Roman"/>
        </w:rPr>
        <w:t xml:space="preserve">, and one of which, </w:t>
      </w:r>
      <w:r w:rsidRPr="00E22A4C">
        <w:rPr>
          <w:rFonts w:ascii="Times New Roman" w:hAnsi="Times New Roman"/>
        </w:rPr>
        <w:t>Classics 6002: Professionalization Seminar</w:t>
      </w:r>
      <w:r w:rsidR="008B5297" w:rsidRPr="00E22A4C">
        <w:rPr>
          <w:rFonts w:ascii="Times New Roman" w:hAnsi="Times New Roman"/>
        </w:rPr>
        <w:t xml:space="preserve">, </w:t>
      </w:r>
      <w:r w:rsidRPr="00E22A4C">
        <w:rPr>
          <w:rFonts w:ascii="Times New Roman" w:hAnsi="Times New Roman"/>
        </w:rPr>
        <w:t xml:space="preserve">to become a core requirement for Candidacy (but not the Terminal MA). </w:t>
      </w:r>
      <w:r w:rsidR="001B3B6A" w:rsidRPr="00E22A4C">
        <w:rPr>
          <w:rFonts w:ascii="Times New Roman" w:hAnsi="Times New Roman"/>
        </w:rPr>
        <w:t xml:space="preserve">The department also proposes to formalize previously approved reductions in credit-hour weighting for four core courses </w:t>
      </w:r>
      <w:r w:rsidR="000543EB" w:rsidRPr="00E22A4C">
        <w:rPr>
          <w:rFonts w:ascii="Times New Roman" w:hAnsi="Times New Roman"/>
        </w:rPr>
        <w:t>and to revise the 7000-level seminar distribution from 3 Greek + 3 Latin to 2 Greek + 2 Latin + 2 Classics.</w:t>
      </w:r>
    </w:p>
    <w:p w14:paraId="3B42295D" w14:textId="77777777" w:rsidR="00E22A4C" w:rsidRPr="00E22A4C" w:rsidRDefault="00E22A4C" w:rsidP="00E22A4C">
      <w:pPr>
        <w:pStyle w:val="ListParagraph"/>
        <w:ind w:left="1800"/>
        <w:rPr>
          <w:rFonts w:ascii="Times New Roman" w:hAnsi="Times New Roman"/>
        </w:rPr>
      </w:pPr>
    </w:p>
    <w:p w14:paraId="20216110" w14:textId="4B5FF4E1" w:rsidR="00E22A4C" w:rsidRPr="00E22A4C" w:rsidRDefault="00E22A4C" w:rsidP="00E22A4C">
      <w:pPr>
        <w:pStyle w:val="ListParagraph"/>
        <w:ind w:left="1800"/>
        <w:rPr>
          <w:rFonts w:ascii="Times New Roman" w:hAnsi="Times New Roman"/>
        </w:rPr>
      </w:pPr>
      <w:r w:rsidRPr="00E22A4C">
        <w:rPr>
          <w:rFonts w:ascii="Times New Roman" w:hAnsi="Times New Roman"/>
        </w:rPr>
        <w:t>The Subcommittee voted unanimously to approve the proposal and forwards it to the Arts and Sciences Curriculum Committee with a motion to approve.</w:t>
      </w:r>
    </w:p>
    <w:p w14:paraId="7F26CC42" w14:textId="77777777" w:rsidR="000E18E5" w:rsidRPr="00E22A4C" w:rsidRDefault="000E18E5" w:rsidP="000E18E5">
      <w:pPr>
        <w:pStyle w:val="ListParagraph"/>
        <w:numPr>
          <w:ilvl w:val="1"/>
          <w:numId w:val="5"/>
        </w:numPr>
        <w:rPr>
          <w:rFonts w:ascii="Times New Roman" w:hAnsi="Times New Roman"/>
        </w:rPr>
      </w:pPr>
      <w:r w:rsidRPr="00E22A4C">
        <w:rPr>
          <w:rFonts w:ascii="Times New Roman" w:hAnsi="Times New Roman"/>
        </w:rPr>
        <w:t>Subcommittee Member: How does the addition of the two Classics courses better prepare students for a career?</w:t>
      </w:r>
    </w:p>
    <w:p w14:paraId="47B52475" w14:textId="6C6266ED" w:rsidR="000E18E5" w:rsidRPr="003D15D0" w:rsidRDefault="000E18E5" w:rsidP="000E18E5">
      <w:pPr>
        <w:pStyle w:val="ListParagraph"/>
        <w:numPr>
          <w:ilvl w:val="2"/>
          <w:numId w:val="5"/>
        </w:numPr>
        <w:rPr>
          <w:rFonts w:ascii="Times New Roman" w:hAnsi="Times New Roman"/>
        </w:rPr>
      </w:pPr>
      <w:r w:rsidRPr="003D15D0">
        <w:rPr>
          <w:rFonts w:ascii="Times New Roman" w:hAnsi="Times New Roman"/>
        </w:rPr>
        <w:t>Ross: We are looking specifically at preparation for the tenure-track job market. Classics 6002 trains students in grant-writing, conference proposal development, and interviewing. The Society for Classical Studies conference is where first-round interviews often happen, so we include interview practice. The course was inspired in part by successful professionalization efforts in History and other humanities departments.</w:t>
      </w:r>
    </w:p>
    <w:p w14:paraId="08967FD7" w14:textId="282B4141" w:rsidR="000E18E5" w:rsidRPr="003D15D0" w:rsidRDefault="000E18E5" w:rsidP="000E18E5">
      <w:pPr>
        <w:pStyle w:val="ListParagraph"/>
        <w:numPr>
          <w:ilvl w:val="1"/>
          <w:numId w:val="5"/>
        </w:numPr>
        <w:rPr>
          <w:rFonts w:ascii="Times New Roman" w:hAnsi="Times New Roman"/>
        </w:rPr>
      </w:pPr>
      <w:r w:rsidRPr="003D15D0">
        <w:rPr>
          <w:rFonts w:ascii="Times New Roman" w:hAnsi="Times New Roman"/>
        </w:rPr>
        <w:t>Subcommittee Member: What do your job placements look like? What percentage of graduates ultimately go into tenure-track positions?</w:t>
      </w:r>
    </w:p>
    <w:p w14:paraId="0B44730D" w14:textId="0FC8BC87" w:rsidR="000E18E5" w:rsidRPr="003D15D0" w:rsidRDefault="000E18E5" w:rsidP="000E18E5">
      <w:pPr>
        <w:pStyle w:val="ListParagraph"/>
        <w:numPr>
          <w:ilvl w:val="2"/>
          <w:numId w:val="5"/>
        </w:numPr>
        <w:rPr>
          <w:rFonts w:ascii="Times New Roman" w:hAnsi="Times New Roman"/>
        </w:rPr>
      </w:pPr>
      <w:r w:rsidRPr="003D15D0">
        <w:rPr>
          <w:rFonts w:ascii="Times New Roman" w:hAnsi="Times New Roman"/>
        </w:rPr>
        <w:t xml:space="preserve">Ross: Like many humanities fields, many students go first into lectureships or postdocs. Tenure-track placements often occur four to five years after graduation. The overall job market in Classics has remained relatively steady compared with other humanities disciplines. </w:t>
      </w:r>
      <w:r w:rsidRPr="003D15D0">
        <w:rPr>
          <w:rFonts w:ascii="Times New Roman" w:hAnsi="Times New Roman"/>
        </w:rPr>
        <w:lastRenderedPageBreak/>
        <w:t>The major retrenchment occurred in the 1960s–70s when high-school Latin declined, which affected visibility and undergraduate enrollment, but the field has been stable since. We are a small department, but Classics programs nationwide also produce relatively few PhDs each year, so the ratio of graduates to available positions is fairly stable.</w:t>
      </w:r>
    </w:p>
    <w:p w14:paraId="69B9F2A7" w14:textId="77777777" w:rsidR="000E18E5" w:rsidRPr="003D15D0" w:rsidRDefault="000E18E5" w:rsidP="000E18E5">
      <w:pPr>
        <w:pStyle w:val="ListParagraph"/>
        <w:numPr>
          <w:ilvl w:val="1"/>
          <w:numId w:val="5"/>
        </w:numPr>
        <w:rPr>
          <w:rFonts w:ascii="Times New Roman" w:hAnsi="Times New Roman"/>
        </w:rPr>
      </w:pPr>
      <w:r w:rsidRPr="003D15D0">
        <w:rPr>
          <w:rFonts w:ascii="Times New Roman" w:hAnsi="Times New Roman"/>
        </w:rPr>
        <w:t>Nagar: How many students will be affected by the change?</w:t>
      </w:r>
    </w:p>
    <w:p w14:paraId="5BFE6554" w14:textId="3270B518" w:rsidR="000E18E5" w:rsidRPr="003D15D0" w:rsidRDefault="000E18E5" w:rsidP="000E18E5">
      <w:pPr>
        <w:pStyle w:val="ListParagraph"/>
        <w:numPr>
          <w:ilvl w:val="2"/>
          <w:numId w:val="5"/>
        </w:numPr>
        <w:rPr>
          <w:rFonts w:ascii="Times New Roman" w:hAnsi="Times New Roman"/>
        </w:rPr>
      </w:pPr>
      <w:r w:rsidRPr="003D15D0">
        <w:rPr>
          <w:rFonts w:ascii="Times New Roman" w:hAnsi="Times New Roman"/>
        </w:rPr>
        <w:t>Ross: The change will not be applied retroactively; current students will not be affected. We recently adjusted our terms of offer and cohort size. We aim to admit three students per year, with some fluctuation, so we generally have around eighteen students enrolled at any given time.</w:t>
      </w:r>
    </w:p>
    <w:p w14:paraId="2A3157B1" w14:textId="37D84ECF" w:rsidR="000E18E5" w:rsidRPr="003D15D0" w:rsidRDefault="000E18E5" w:rsidP="000E18E5">
      <w:pPr>
        <w:pStyle w:val="ListParagraph"/>
        <w:numPr>
          <w:ilvl w:val="1"/>
          <w:numId w:val="5"/>
        </w:numPr>
        <w:rPr>
          <w:rFonts w:ascii="Times New Roman" w:hAnsi="Times New Roman"/>
        </w:rPr>
      </w:pPr>
      <w:r w:rsidRPr="003D15D0">
        <w:rPr>
          <w:rFonts w:ascii="Times New Roman" w:hAnsi="Times New Roman"/>
        </w:rPr>
        <w:t xml:space="preserve">Letter of Motion, Dwyer; unanimously approved. </w:t>
      </w:r>
    </w:p>
    <w:p w14:paraId="70C347C2" w14:textId="77777777" w:rsidR="000E18E5" w:rsidRPr="004106E4" w:rsidRDefault="000E18E5" w:rsidP="000E18E5">
      <w:pPr>
        <w:pStyle w:val="ListParagraph"/>
        <w:numPr>
          <w:ilvl w:val="0"/>
          <w:numId w:val="5"/>
        </w:numPr>
        <w:rPr>
          <w:rFonts w:ascii="Times New Roman" w:hAnsi="Times New Roman"/>
        </w:rPr>
      </w:pPr>
      <w:r w:rsidRPr="003D15D0">
        <w:rPr>
          <w:rFonts w:ascii="Times New Roman" w:hAnsi="Times New Roman"/>
        </w:rPr>
        <w:t xml:space="preserve">Revision to the Computer Information Science BA and BS (Guests: Jeremy Morris </w:t>
      </w:r>
      <w:r w:rsidRPr="004106E4">
        <w:rPr>
          <w:rFonts w:ascii="Times New Roman" w:hAnsi="Times New Roman"/>
        </w:rPr>
        <w:t>and Nikki Strader)</w:t>
      </w:r>
    </w:p>
    <w:p w14:paraId="3BF39DA0" w14:textId="1CF005F2" w:rsidR="004729E8" w:rsidRPr="004106E4" w:rsidRDefault="006733F6" w:rsidP="004106E4">
      <w:pPr>
        <w:pStyle w:val="ListParagraph"/>
        <w:numPr>
          <w:ilvl w:val="1"/>
          <w:numId w:val="5"/>
        </w:numPr>
        <w:rPr>
          <w:rFonts w:ascii="Times New Roman" w:hAnsi="Times New Roman"/>
        </w:rPr>
      </w:pPr>
      <w:r w:rsidRPr="004106E4">
        <w:rPr>
          <w:rFonts w:ascii="Times New Roman" w:hAnsi="Times New Roman"/>
        </w:rPr>
        <w:t>On Thursday, October 9, 2025, the Natural and Mathematical Sciences Subcommittee reviewed a revised program request for the Computer and Information Science (CIS) BA and BS majors.</w:t>
      </w:r>
      <w:r w:rsidR="004106E4" w:rsidRPr="004106E4">
        <w:rPr>
          <w:rFonts w:ascii="Times New Roman" w:hAnsi="Times New Roman"/>
        </w:rPr>
        <w:t xml:space="preserve"> </w:t>
      </w:r>
      <w:r w:rsidRPr="004106E4">
        <w:rPr>
          <w:rFonts w:ascii="Times New Roman" w:hAnsi="Times New Roman"/>
        </w:rPr>
        <w:t>The College of Engineering recently shifted to direct admission for incoming first-year CSE students, eliminating the previous pre-major model. This change prompted CSE to update its probation and dismissal policies for students who struggle in key courses.</w:t>
      </w:r>
      <w:r w:rsidR="004729E8" w:rsidRPr="004106E4">
        <w:rPr>
          <w:rFonts w:ascii="Times New Roman" w:eastAsia="Times New Roman" w:hAnsi="Times New Roman"/>
          <w:kern w:val="0"/>
          <w14:ligatures w14:val="none"/>
        </w:rPr>
        <w:t xml:space="preserve"> </w:t>
      </w:r>
      <w:r w:rsidR="004729E8" w:rsidRPr="004106E4">
        <w:rPr>
          <w:rFonts w:ascii="Times New Roman" w:hAnsi="Times New Roman"/>
        </w:rPr>
        <w:t>Because these updated procedures were not previously aligned with the CIS major in ASC, the revised CIS program request includes changes to synchronize the probationary and dismissal policies across the CSE and CIS majors.</w:t>
      </w:r>
    </w:p>
    <w:p w14:paraId="68409871" w14:textId="77777777" w:rsidR="004106E4" w:rsidRPr="004106E4" w:rsidRDefault="004106E4" w:rsidP="004106E4">
      <w:pPr>
        <w:pStyle w:val="ListParagraph"/>
        <w:ind w:left="1800"/>
        <w:rPr>
          <w:rFonts w:ascii="Times New Roman" w:hAnsi="Times New Roman"/>
        </w:rPr>
      </w:pPr>
    </w:p>
    <w:p w14:paraId="3AE80245" w14:textId="5D5F67EE" w:rsidR="000E18E5" w:rsidRPr="004106E4" w:rsidRDefault="004729E8" w:rsidP="004106E4">
      <w:pPr>
        <w:pStyle w:val="ListParagraph"/>
        <w:ind w:left="1800"/>
        <w:rPr>
          <w:rFonts w:ascii="Times New Roman" w:hAnsi="Times New Roman"/>
        </w:rPr>
      </w:pPr>
      <w:r w:rsidRPr="004729E8">
        <w:rPr>
          <w:rFonts w:ascii="Times New Roman" w:hAnsi="Times New Roman"/>
        </w:rPr>
        <w:t xml:space="preserve">The </w:t>
      </w:r>
      <w:r w:rsidR="008F1622">
        <w:rPr>
          <w:rFonts w:ascii="Times New Roman" w:hAnsi="Times New Roman"/>
        </w:rPr>
        <w:t>S</w:t>
      </w:r>
      <w:r w:rsidRPr="004729E8">
        <w:rPr>
          <w:rFonts w:ascii="Times New Roman" w:hAnsi="Times New Roman"/>
        </w:rPr>
        <w:t xml:space="preserve">ubcommittee approved the </w:t>
      </w:r>
      <w:r w:rsidR="000D35AE">
        <w:rPr>
          <w:rFonts w:ascii="Times New Roman" w:hAnsi="Times New Roman"/>
        </w:rPr>
        <w:t>proposal</w:t>
      </w:r>
      <w:r w:rsidRPr="004729E8">
        <w:rPr>
          <w:rFonts w:ascii="Times New Roman" w:hAnsi="Times New Roman"/>
        </w:rPr>
        <w:t xml:space="preserve"> with </w:t>
      </w:r>
      <w:r w:rsidRPr="004106E4">
        <w:rPr>
          <w:rFonts w:ascii="Times New Roman" w:hAnsi="Times New Roman"/>
        </w:rPr>
        <w:t>the request</w:t>
      </w:r>
      <w:r w:rsidRPr="004729E8">
        <w:rPr>
          <w:rFonts w:ascii="Times New Roman" w:hAnsi="Times New Roman"/>
        </w:rPr>
        <w:t xml:space="preserve"> that the department submit a follow-up report to ASC within the next one to two years on how the new policies are affecting CIS majors.</w:t>
      </w:r>
      <w:r w:rsidR="004106E4" w:rsidRPr="004106E4">
        <w:rPr>
          <w:rFonts w:ascii="Times New Roman" w:hAnsi="Times New Roman"/>
        </w:rPr>
        <w:t xml:space="preserve"> The proposal is now advanced to the Arts and Sciences Curriculum Committee with a motion to approve.</w:t>
      </w:r>
    </w:p>
    <w:p w14:paraId="76116C66" w14:textId="3022F61F" w:rsidR="00611CD3" w:rsidRPr="003D15D0" w:rsidRDefault="00611CD3" w:rsidP="000E18E5">
      <w:pPr>
        <w:pStyle w:val="ListParagraph"/>
        <w:numPr>
          <w:ilvl w:val="1"/>
          <w:numId w:val="5"/>
        </w:numPr>
        <w:rPr>
          <w:rFonts w:ascii="Times New Roman" w:hAnsi="Times New Roman"/>
        </w:rPr>
      </w:pPr>
      <w:r w:rsidRPr="003D15D0">
        <w:rPr>
          <w:rFonts w:ascii="Times New Roman" w:hAnsi="Times New Roman"/>
        </w:rPr>
        <w:t>Subcommittee member</w:t>
      </w:r>
      <w:r w:rsidR="000D35AE">
        <w:rPr>
          <w:rFonts w:ascii="Times New Roman" w:hAnsi="Times New Roman"/>
        </w:rPr>
        <w:t>:</w:t>
      </w:r>
      <w:r w:rsidRPr="003D15D0">
        <w:rPr>
          <w:rFonts w:ascii="Times New Roman" w:hAnsi="Times New Roman"/>
        </w:rPr>
        <w:t xml:space="preserve"> What prompted the shift from a pre-major model to direct admission?</w:t>
      </w:r>
    </w:p>
    <w:p w14:paraId="17ECA79E" w14:textId="424048D1" w:rsidR="00611CD3" w:rsidRPr="003D15D0" w:rsidRDefault="00611CD3" w:rsidP="00611CD3">
      <w:pPr>
        <w:pStyle w:val="ListParagraph"/>
        <w:numPr>
          <w:ilvl w:val="2"/>
          <w:numId w:val="5"/>
        </w:numPr>
        <w:rPr>
          <w:rFonts w:ascii="Times New Roman" w:hAnsi="Times New Roman"/>
        </w:rPr>
      </w:pPr>
      <w:r w:rsidRPr="003D15D0">
        <w:rPr>
          <w:rFonts w:ascii="Times New Roman" w:hAnsi="Times New Roman"/>
        </w:rPr>
        <w:t>Morris: We have wanted direct admission for a long time. Most peer institutions no longer use a pre-major system. Only a few engineering programs still do, usually due to capacity restrictions. Because of recent enrollment shifts, we were able to admit all current pre-majors and incoming students at once, giving us room to move to direct admission for both Engineering and Arts and Sciences students. Removing the pre-major also means we needed updated probation tools, since pre-major status was often where students self-selected out or were moved due to performance.</w:t>
      </w:r>
    </w:p>
    <w:p w14:paraId="3CCD7A21" w14:textId="11569CF1" w:rsidR="00611CD3" w:rsidRPr="003D15D0" w:rsidRDefault="00611CD3" w:rsidP="00611CD3">
      <w:pPr>
        <w:pStyle w:val="ListParagraph"/>
        <w:numPr>
          <w:ilvl w:val="1"/>
          <w:numId w:val="5"/>
        </w:numPr>
        <w:rPr>
          <w:rFonts w:ascii="Times New Roman" w:hAnsi="Times New Roman"/>
        </w:rPr>
      </w:pPr>
      <w:r w:rsidRPr="003D15D0">
        <w:rPr>
          <w:rFonts w:ascii="Times New Roman" w:hAnsi="Times New Roman"/>
        </w:rPr>
        <w:t>Subcommittee member: Will the pre-major course</w:t>
      </w:r>
      <w:r w:rsidR="00A96184">
        <w:rPr>
          <w:rFonts w:ascii="Times New Roman" w:hAnsi="Times New Roman"/>
        </w:rPr>
        <w:t>s</w:t>
      </w:r>
      <w:r w:rsidRPr="003D15D0">
        <w:rPr>
          <w:rFonts w:ascii="Times New Roman" w:hAnsi="Times New Roman"/>
        </w:rPr>
        <w:t xml:space="preserve"> still be required?</w:t>
      </w:r>
    </w:p>
    <w:p w14:paraId="690B9488" w14:textId="130734E0" w:rsidR="00611CD3" w:rsidRPr="003D15D0" w:rsidRDefault="00611CD3" w:rsidP="00611CD3">
      <w:pPr>
        <w:pStyle w:val="ListParagraph"/>
        <w:numPr>
          <w:ilvl w:val="2"/>
          <w:numId w:val="5"/>
        </w:numPr>
        <w:rPr>
          <w:rFonts w:ascii="Times New Roman" w:hAnsi="Times New Roman"/>
        </w:rPr>
      </w:pPr>
      <w:r w:rsidRPr="003D15D0">
        <w:rPr>
          <w:rFonts w:ascii="Times New Roman" w:hAnsi="Times New Roman"/>
        </w:rPr>
        <w:lastRenderedPageBreak/>
        <w:t>Morris: The former pre-major course is essentially the first major course. Students who perform poorly in it still get a strong signal about whether the major is a good fit. Under the new policy, failing any required major course triggers a warning and a required meeting with advising.</w:t>
      </w:r>
    </w:p>
    <w:p w14:paraId="3C1E0CE3" w14:textId="47EF5C83" w:rsidR="00611CD3" w:rsidRPr="003D15D0" w:rsidRDefault="00611CD3" w:rsidP="00B46059">
      <w:pPr>
        <w:pStyle w:val="ListParagraph"/>
        <w:numPr>
          <w:ilvl w:val="3"/>
          <w:numId w:val="5"/>
        </w:numPr>
        <w:rPr>
          <w:rFonts w:ascii="Times New Roman" w:hAnsi="Times New Roman"/>
        </w:rPr>
      </w:pPr>
      <w:r w:rsidRPr="003D15D0">
        <w:rPr>
          <w:rFonts w:ascii="Times New Roman" w:hAnsi="Times New Roman"/>
        </w:rPr>
        <w:t>Nagar: Is failing the course the benchmark?</w:t>
      </w:r>
    </w:p>
    <w:p w14:paraId="1B668389" w14:textId="50B87B8B" w:rsidR="00611CD3" w:rsidRPr="003D15D0" w:rsidRDefault="00611CD3" w:rsidP="00B46059">
      <w:pPr>
        <w:pStyle w:val="ListParagraph"/>
        <w:numPr>
          <w:ilvl w:val="3"/>
          <w:numId w:val="5"/>
        </w:numPr>
        <w:rPr>
          <w:rFonts w:ascii="Times New Roman" w:hAnsi="Times New Roman"/>
        </w:rPr>
      </w:pPr>
      <w:r w:rsidRPr="003D15D0">
        <w:rPr>
          <w:rFonts w:ascii="Times New Roman" w:hAnsi="Times New Roman"/>
        </w:rPr>
        <w:t>Morris: Yes. We were advised to consider using a D or D+ as the threshold, since the Colleges differ (Engineering counts Ds as passing; ASC requires C– or higher). We may adjust this for consistency.</w:t>
      </w:r>
    </w:p>
    <w:p w14:paraId="7067E91A" w14:textId="4E535E1C" w:rsidR="00611CD3" w:rsidRPr="003D15D0" w:rsidRDefault="00611CD3" w:rsidP="00611CD3">
      <w:pPr>
        <w:pStyle w:val="ListParagraph"/>
        <w:numPr>
          <w:ilvl w:val="1"/>
          <w:numId w:val="5"/>
        </w:numPr>
        <w:rPr>
          <w:rFonts w:ascii="Times New Roman" w:hAnsi="Times New Roman"/>
        </w:rPr>
      </w:pPr>
      <w:r w:rsidRPr="003D15D0">
        <w:rPr>
          <w:rFonts w:ascii="Times New Roman" w:hAnsi="Times New Roman"/>
        </w:rPr>
        <w:t>Nagar: How will students be informed of this change?</w:t>
      </w:r>
    </w:p>
    <w:p w14:paraId="26B62532" w14:textId="1B40D3E3" w:rsidR="00611CD3" w:rsidRPr="003D15D0" w:rsidRDefault="00611CD3" w:rsidP="00611CD3">
      <w:pPr>
        <w:pStyle w:val="ListParagraph"/>
        <w:numPr>
          <w:ilvl w:val="2"/>
          <w:numId w:val="5"/>
        </w:numPr>
        <w:rPr>
          <w:rFonts w:ascii="Times New Roman" w:hAnsi="Times New Roman"/>
        </w:rPr>
      </w:pPr>
      <w:r w:rsidRPr="003D15D0">
        <w:rPr>
          <w:rFonts w:ascii="Times New Roman" w:hAnsi="Times New Roman"/>
        </w:rPr>
        <w:t xml:space="preserve">Morris: Messaging is delivered through the first-year engineering </w:t>
      </w:r>
      <w:r w:rsidR="00A96184">
        <w:rPr>
          <w:rFonts w:ascii="Times New Roman" w:hAnsi="Times New Roman"/>
        </w:rPr>
        <w:t>survey course</w:t>
      </w:r>
      <w:r w:rsidRPr="003D15D0">
        <w:rPr>
          <w:rFonts w:ascii="Times New Roman" w:hAnsi="Times New Roman"/>
        </w:rPr>
        <w:t xml:space="preserve"> for Engineering students. ASC students will receive supplemental communication from advising because their </w:t>
      </w:r>
      <w:r w:rsidR="00A96184">
        <w:rPr>
          <w:rFonts w:ascii="Times New Roman" w:hAnsi="Times New Roman"/>
        </w:rPr>
        <w:t xml:space="preserve">survey course </w:t>
      </w:r>
      <w:r w:rsidRPr="003D15D0">
        <w:rPr>
          <w:rFonts w:ascii="Times New Roman" w:hAnsi="Times New Roman"/>
        </w:rPr>
        <w:t>structure differs.</w:t>
      </w:r>
    </w:p>
    <w:p w14:paraId="6575DCC0" w14:textId="09A29481" w:rsidR="00611CD3" w:rsidRPr="003D15D0" w:rsidRDefault="00611CD3" w:rsidP="00611CD3">
      <w:pPr>
        <w:pStyle w:val="ListParagraph"/>
        <w:numPr>
          <w:ilvl w:val="1"/>
          <w:numId w:val="5"/>
        </w:numPr>
        <w:rPr>
          <w:rFonts w:ascii="Times New Roman" w:hAnsi="Times New Roman"/>
        </w:rPr>
      </w:pPr>
      <w:r w:rsidRPr="003D15D0">
        <w:rPr>
          <w:rFonts w:ascii="Times New Roman" w:hAnsi="Times New Roman"/>
        </w:rPr>
        <w:t xml:space="preserve">Nagar: How many students do you expect to be impacted? </w:t>
      </w:r>
    </w:p>
    <w:p w14:paraId="3986A669" w14:textId="4B53EF74" w:rsidR="00611CD3" w:rsidRPr="003D15D0" w:rsidRDefault="00611CD3" w:rsidP="00611CD3">
      <w:pPr>
        <w:pStyle w:val="ListParagraph"/>
        <w:numPr>
          <w:ilvl w:val="2"/>
          <w:numId w:val="5"/>
        </w:numPr>
        <w:rPr>
          <w:rFonts w:ascii="Times New Roman" w:hAnsi="Times New Roman"/>
        </w:rPr>
      </w:pPr>
      <w:r w:rsidRPr="003D15D0">
        <w:rPr>
          <w:rFonts w:ascii="Times New Roman" w:hAnsi="Times New Roman"/>
        </w:rPr>
        <w:t>We have already implemented this for Engineering students. With about 1,200 majors, we see a few dozen probation cases per semester, which is intentional and meant to catch students early. We have very few dismissals, though some students leave the major on their own. Dismissal refers to removal from the major, not necessarily from the college.</w:t>
      </w:r>
    </w:p>
    <w:p w14:paraId="60187B8B" w14:textId="2CE7A381" w:rsidR="00611CD3" w:rsidRPr="003D15D0" w:rsidRDefault="00611CD3" w:rsidP="00611CD3">
      <w:pPr>
        <w:pStyle w:val="ListParagraph"/>
        <w:numPr>
          <w:ilvl w:val="1"/>
          <w:numId w:val="5"/>
        </w:numPr>
        <w:rPr>
          <w:rFonts w:ascii="Times New Roman" w:hAnsi="Times New Roman"/>
        </w:rPr>
      </w:pPr>
      <w:r w:rsidRPr="003D15D0">
        <w:rPr>
          <w:rFonts w:ascii="Times New Roman" w:hAnsi="Times New Roman"/>
        </w:rPr>
        <w:t>Committee member: What is the difference between the CIS and CSE programs?</w:t>
      </w:r>
    </w:p>
    <w:p w14:paraId="68E31F0E" w14:textId="1667928F" w:rsidR="00611CD3" w:rsidRPr="003D15D0" w:rsidRDefault="00611CD3" w:rsidP="00611CD3">
      <w:pPr>
        <w:pStyle w:val="ListParagraph"/>
        <w:numPr>
          <w:ilvl w:val="2"/>
          <w:numId w:val="5"/>
        </w:numPr>
        <w:rPr>
          <w:rFonts w:ascii="Times New Roman" w:hAnsi="Times New Roman"/>
        </w:rPr>
      </w:pPr>
      <w:r w:rsidRPr="003D15D0">
        <w:rPr>
          <w:rFonts w:ascii="Times New Roman" w:hAnsi="Times New Roman"/>
        </w:rPr>
        <w:t>Morris: We offer a BA and BS in Computer Science (CIS), plus the BS in Computer Science and Engineering (CSE). All share the same core C</w:t>
      </w:r>
      <w:r w:rsidR="00A96184">
        <w:rPr>
          <w:rFonts w:ascii="Times New Roman" w:hAnsi="Times New Roman"/>
        </w:rPr>
        <w:t xml:space="preserve">omputer </w:t>
      </w:r>
      <w:r w:rsidRPr="003D15D0">
        <w:rPr>
          <w:rFonts w:ascii="Times New Roman" w:hAnsi="Times New Roman"/>
        </w:rPr>
        <w:t>S</w:t>
      </w:r>
      <w:r w:rsidR="00A96184">
        <w:rPr>
          <w:rFonts w:ascii="Times New Roman" w:hAnsi="Times New Roman"/>
        </w:rPr>
        <w:t>cience</w:t>
      </w:r>
      <w:r w:rsidRPr="003D15D0">
        <w:rPr>
          <w:rFonts w:ascii="Times New Roman" w:hAnsi="Times New Roman"/>
        </w:rPr>
        <w:t xml:space="preserve"> curriculum. The BA combines </w:t>
      </w:r>
      <w:r w:rsidR="00A96184">
        <w:rPr>
          <w:rFonts w:ascii="Times New Roman" w:hAnsi="Times New Roman"/>
        </w:rPr>
        <w:t xml:space="preserve">computer </w:t>
      </w:r>
      <w:r w:rsidR="000D35AE">
        <w:rPr>
          <w:rFonts w:ascii="Times New Roman" w:hAnsi="Times New Roman"/>
        </w:rPr>
        <w:t>science</w:t>
      </w:r>
      <w:r w:rsidRPr="003D15D0">
        <w:rPr>
          <w:rFonts w:ascii="Times New Roman" w:hAnsi="Times New Roman"/>
        </w:rPr>
        <w:t xml:space="preserve"> with substantial coursework in another discipline. The BS is more similar to the </w:t>
      </w:r>
      <w:r w:rsidR="00A96184">
        <w:rPr>
          <w:rFonts w:ascii="Times New Roman" w:hAnsi="Times New Roman"/>
        </w:rPr>
        <w:t>Bachelor of Science in Engineering</w:t>
      </w:r>
      <w:r w:rsidRPr="003D15D0">
        <w:rPr>
          <w:rFonts w:ascii="Times New Roman" w:hAnsi="Times New Roman"/>
        </w:rPr>
        <w:t xml:space="preserve"> degree but without the required hardware/circuits coursework. ASC students have foreign language requirements; Engineering students have additional engineering coursework.</w:t>
      </w:r>
    </w:p>
    <w:p w14:paraId="64A31CDF" w14:textId="2336BBD9" w:rsidR="00611CD3" w:rsidRPr="003D15D0" w:rsidRDefault="00611CD3" w:rsidP="00611CD3">
      <w:pPr>
        <w:pStyle w:val="ListParagraph"/>
        <w:numPr>
          <w:ilvl w:val="1"/>
          <w:numId w:val="5"/>
        </w:numPr>
        <w:rPr>
          <w:rFonts w:ascii="Times New Roman" w:hAnsi="Times New Roman"/>
        </w:rPr>
      </w:pPr>
      <w:r w:rsidRPr="003D15D0">
        <w:rPr>
          <w:rFonts w:ascii="Times New Roman" w:hAnsi="Times New Roman"/>
        </w:rPr>
        <w:t>Committee member: What are the enrollment numbers between the ASC and Engineering versions?</w:t>
      </w:r>
    </w:p>
    <w:p w14:paraId="36FD8860" w14:textId="2F6010DE" w:rsidR="00611CD3" w:rsidRPr="003D15D0" w:rsidRDefault="00611CD3" w:rsidP="00611CD3">
      <w:pPr>
        <w:pStyle w:val="ListParagraph"/>
        <w:numPr>
          <w:ilvl w:val="2"/>
          <w:numId w:val="5"/>
        </w:numPr>
        <w:rPr>
          <w:rFonts w:ascii="Times New Roman" w:hAnsi="Times New Roman"/>
        </w:rPr>
      </w:pPr>
      <w:r w:rsidRPr="003D15D0">
        <w:rPr>
          <w:rFonts w:ascii="Times New Roman" w:hAnsi="Times New Roman"/>
        </w:rPr>
        <w:t>Morris: Engineering is larger, but trends are shifting. We</w:t>
      </w:r>
      <w:r w:rsidR="00587B75">
        <w:rPr>
          <w:rFonts w:ascii="Times New Roman" w:hAnsi="Times New Roman"/>
        </w:rPr>
        <w:t xml:space="preserve"> a</w:t>
      </w:r>
      <w:r w:rsidRPr="003D15D0">
        <w:rPr>
          <w:rFonts w:ascii="Times New Roman" w:hAnsi="Times New Roman"/>
        </w:rPr>
        <w:t xml:space="preserve">re exploring adjustments to the BS so it could also function </w:t>
      </w:r>
      <w:r w:rsidR="00A96184">
        <w:rPr>
          <w:rFonts w:ascii="Times New Roman" w:hAnsi="Times New Roman"/>
        </w:rPr>
        <w:t>more like the BA but with additional coursework in the natural sciences.</w:t>
      </w:r>
    </w:p>
    <w:p w14:paraId="35DCF3B6" w14:textId="0DFA4FB2" w:rsidR="00E61202" w:rsidRPr="003D15D0" w:rsidRDefault="00E61202" w:rsidP="00E61202">
      <w:pPr>
        <w:pStyle w:val="ListParagraph"/>
        <w:numPr>
          <w:ilvl w:val="1"/>
          <w:numId w:val="5"/>
        </w:numPr>
        <w:rPr>
          <w:rFonts w:ascii="Times New Roman" w:hAnsi="Times New Roman"/>
        </w:rPr>
      </w:pPr>
      <w:r w:rsidRPr="003D15D0">
        <w:rPr>
          <w:rFonts w:ascii="Times New Roman" w:hAnsi="Times New Roman"/>
        </w:rPr>
        <w:t>Committee member: Do CIS students feel that the foreign language requirement is necessary?</w:t>
      </w:r>
    </w:p>
    <w:p w14:paraId="3BF7FC91" w14:textId="12645707" w:rsidR="00E61202" w:rsidRPr="003D15D0" w:rsidRDefault="00E61202" w:rsidP="00E61202">
      <w:pPr>
        <w:pStyle w:val="ListParagraph"/>
        <w:numPr>
          <w:ilvl w:val="2"/>
          <w:numId w:val="5"/>
        </w:numPr>
        <w:rPr>
          <w:rFonts w:ascii="Times New Roman" w:hAnsi="Times New Roman"/>
        </w:rPr>
      </w:pPr>
      <w:r w:rsidRPr="003D15D0">
        <w:rPr>
          <w:rFonts w:ascii="Times New Roman" w:hAnsi="Times New Roman"/>
        </w:rPr>
        <w:lastRenderedPageBreak/>
        <w:t>Morris: Students largely self-select. Those who want the language requirement choose the CIS degree; those who don’t typically choose CSE. Our honors CIS students often intentionally choose CIS for the language component.</w:t>
      </w:r>
    </w:p>
    <w:p w14:paraId="7325F2B0" w14:textId="36BBC997" w:rsidR="00E61202" w:rsidRPr="003D15D0" w:rsidRDefault="00E61202" w:rsidP="00E61202">
      <w:pPr>
        <w:pStyle w:val="ListParagraph"/>
        <w:numPr>
          <w:ilvl w:val="1"/>
          <w:numId w:val="5"/>
        </w:numPr>
        <w:rPr>
          <w:rFonts w:ascii="Times New Roman" w:hAnsi="Times New Roman"/>
        </w:rPr>
      </w:pPr>
      <w:r w:rsidRPr="003D15D0">
        <w:rPr>
          <w:rFonts w:ascii="Times New Roman" w:hAnsi="Times New Roman"/>
        </w:rPr>
        <w:t>Committee member: How often do students switch between CIS and CSE?</w:t>
      </w:r>
    </w:p>
    <w:p w14:paraId="7179D1E9" w14:textId="5DBEE245" w:rsidR="00E61202" w:rsidRPr="003D15D0" w:rsidRDefault="00E61202" w:rsidP="00E61202">
      <w:pPr>
        <w:pStyle w:val="ListParagraph"/>
        <w:numPr>
          <w:ilvl w:val="2"/>
          <w:numId w:val="5"/>
        </w:numPr>
        <w:rPr>
          <w:rFonts w:ascii="Times New Roman" w:hAnsi="Times New Roman"/>
        </w:rPr>
      </w:pPr>
      <w:r w:rsidRPr="003D15D0">
        <w:rPr>
          <w:rFonts w:ascii="Times New Roman" w:hAnsi="Times New Roman"/>
        </w:rPr>
        <w:t>Morris: It happens, but not frequently. Students who switch usually do so early due to the additional engineering requirements in CSE. We see a few cases each year in both directions.</w:t>
      </w:r>
    </w:p>
    <w:p w14:paraId="4AEB5B54" w14:textId="1933620A" w:rsidR="00E61202" w:rsidRPr="003D15D0" w:rsidRDefault="00E61202" w:rsidP="00E61202">
      <w:pPr>
        <w:pStyle w:val="ListParagraph"/>
        <w:numPr>
          <w:ilvl w:val="1"/>
          <w:numId w:val="5"/>
        </w:numPr>
        <w:rPr>
          <w:rFonts w:ascii="Times New Roman" w:hAnsi="Times New Roman"/>
        </w:rPr>
      </w:pPr>
      <w:r w:rsidRPr="003D15D0">
        <w:rPr>
          <w:rFonts w:ascii="Times New Roman" w:hAnsi="Times New Roman"/>
        </w:rPr>
        <w:t>Committee member: The NMS Subcommittee discussed “missed opportunities” for collaboration. Has the department explored deeper engagement with Arts and Sciences on advising or curriculum?</w:t>
      </w:r>
    </w:p>
    <w:p w14:paraId="148721D8" w14:textId="44B09473" w:rsidR="00E61202" w:rsidRPr="003D15D0" w:rsidRDefault="00E61202" w:rsidP="00E61202">
      <w:pPr>
        <w:pStyle w:val="ListParagraph"/>
        <w:numPr>
          <w:ilvl w:val="2"/>
          <w:numId w:val="5"/>
        </w:numPr>
        <w:rPr>
          <w:rFonts w:ascii="Times New Roman" w:hAnsi="Times New Roman"/>
        </w:rPr>
      </w:pPr>
      <w:r w:rsidRPr="003D15D0">
        <w:rPr>
          <w:rFonts w:ascii="Times New Roman" w:hAnsi="Times New Roman"/>
        </w:rPr>
        <w:t>Morris: Yes. Our advisors work closely with Arts and Sciences advisors, and some ASC advisors are embedded in our department specifically for CIS students. Because the department sits outside ASC, we are disconnected from many ASC conversations, but we want to be more involved. We have been overwhelmed with demand and often had to limit enrollment—sometimes no one below a 3.3 GPA could get in due to space. Now that enrollment has shifted, we hope to accept all students who want the major and to broaden outreach rather than restrict access.</w:t>
      </w:r>
    </w:p>
    <w:p w14:paraId="2E872265" w14:textId="1F9C5686" w:rsidR="00E61202" w:rsidRPr="003D15D0" w:rsidRDefault="00E61202" w:rsidP="00E61202">
      <w:pPr>
        <w:pStyle w:val="ListParagraph"/>
        <w:numPr>
          <w:ilvl w:val="1"/>
          <w:numId w:val="5"/>
        </w:numPr>
        <w:rPr>
          <w:rFonts w:ascii="Times New Roman" w:hAnsi="Times New Roman"/>
        </w:rPr>
      </w:pPr>
      <w:r w:rsidRPr="003D15D0">
        <w:rPr>
          <w:rFonts w:ascii="Times New Roman" w:hAnsi="Times New Roman"/>
        </w:rPr>
        <w:t>Committee member: How do you plan to address the contingency from the NMS Subcommittee regarding the benchmark grade?</w:t>
      </w:r>
    </w:p>
    <w:p w14:paraId="3CF426AB" w14:textId="0BE2107B" w:rsidR="00E61202" w:rsidRPr="003D15D0" w:rsidRDefault="00E61202" w:rsidP="00E61202">
      <w:pPr>
        <w:pStyle w:val="ListParagraph"/>
        <w:numPr>
          <w:ilvl w:val="2"/>
          <w:numId w:val="5"/>
        </w:numPr>
        <w:rPr>
          <w:rFonts w:ascii="Times New Roman" w:hAnsi="Times New Roman"/>
        </w:rPr>
      </w:pPr>
      <w:r w:rsidRPr="003D15D0">
        <w:rPr>
          <w:rFonts w:ascii="Times New Roman" w:hAnsi="Times New Roman"/>
        </w:rPr>
        <w:t>Morris: We will discuss it in our Undergraduate Studies meeting.</w:t>
      </w:r>
    </w:p>
    <w:p w14:paraId="3CC2F754" w14:textId="75BD3E1F" w:rsidR="00E61202" w:rsidRPr="003D15D0" w:rsidRDefault="00E61202" w:rsidP="00E61202">
      <w:pPr>
        <w:pStyle w:val="ListParagraph"/>
        <w:numPr>
          <w:ilvl w:val="1"/>
          <w:numId w:val="5"/>
        </w:numPr>
        <w:rPr>
          <w:rFonts w:ascii="Times New Roman" w:hAnsi="Times New Roman"/>
        </w:rPr>
      </w:pPr>
      <w:r w:rsidRPr="003D15D0">
        <w:rPr>
          <w:rFonts w:ascii="Times New Roman" w:hAnsi="Times New Roman"/>
        </w:rPr>
        <w:t xml:space="preserve">Letter of Motion, Hedgecoth; unanimously approved. </w:t>
      </w:r>
    </w:p>
    <w:p w14:paraId="0EA4DA03" w14:textId="77777777" w:rsidR="000E18E5" w:rsidRDefault="000E18E5" w:rsidP="000E18E5">
      <w:pPr>
        <w:pStyle w:val="ListParagraph"/>
        <w:numPr>
          <w:ilvl w:val="0"/>
          <w:numId w:val="5"/>
        </w:numPr>
        <w:rPr>
          <w:rFonts w:ascii="Times New Roman" w:hAnsi="Times New Roman"/>
        </w:rPr>
      </w:pPr>
      <w:r w:rsidRPr="003D15D0">
        <w:rPr>
          <w:rFonts w:ascii="Times New Roman" w:hAnsi="Times New Roman"/>
        </w:rPr>
        <w:t>English major informational item (I. Nagar)</w:t>
      </w:r>
    </w:p>
    <w:p w14:paraId="4029B5DD" w14:textId="08D7986C" w:rsidR="003C4EE5" w:rsidRPr="003D15D0" w:rsidRDefault="00082AB4" w:rsidP="003C4EE5">
      <w:pPr>
        <w:pStyle w:val="ListParagraph"/>
        <w:numPr>
          <w:ilvl w:val="1"/>
          <w:numId w:val="5"/>
        </w:numPr>
        <w:rPr>
          <w:rFonts w:ascii="Times New Roman" w:hAnsi="Times New Roman"/>
        </w:rPr>
      </w:pPr>
      <w:r>
        <w:rPr>
          <w:rFonts w:ascii="Times New Roman" w:hAnsi="Times New Roman"/>
        </w:rPr>
        <w:t xml:space="preserve">Nagar: </w:t>
      </w:r>
      <w:r w:rsidRPr="00082AB4">
        <w:rPr>
          <w:rFonts w:ascii="Times New Roman" w:hAnsi="Times New Roman"/>
        </w:rPr>
        <w:t>The Department of English requested approval for minor changes to the Creative Writing specialization requirements.</w:t>
      </w:r>
      <w:r w:rsidR="00462A58" w:rsidRPr="00462A58">
        <w:t xml:space="preserve"> </w:t>
      </w:r>
      <w:r w:rsidR="00462A58" w:rsidRPr="00462A58">
        <w:rPr>
          <w:rFonts w:ascii="Times New Roman" w:hAnsi="Times New Roman"/>
        </w:rPr>
        <w:t>Advisors reported ongoing issues with the degree audit system misassigning Creative Writing workshops across requirement categories labeled “2000-level or higher” and “3000-level or higher.” Because workshops may count in multiple places, the system frequently places upper-level workshops into lower-level categories, leaving lower-level workshops uncounted. This has caused confusion for students and advisors tracking progress toward graduation.</w:t>
      </w:r>
      <w:r w:rsidR="00137E5A" w:rsidRPr="00137E5A">
        <w:t xml:space="preserve"> </w:t>
      </w:r>
      <w:r w:rsidR="00137E5A" w:rsidRPr="00137E5A">
        <w:rPr>
          <w:rFonts w:ascii="Times New Roman" w:hAnsi="Times New Roman"/>
        </w:rPr>
        <w:t>To resolve this problem</w:t>
      </w:r>
      <w:r w:rsidR="00137E5A">
        <w:rPr>
          <w:rFonts w:ascii="Times New Roman" w:hAnsi="Times New Roman"/>
        </w:rPr>
        <w:t xml:space="preserve"> </w:t>
      </w:r>
      <w:r w:rsidR="00137E5A" w:rsidRPr="00137E5A">
        <w:rPr>
          <w:rFonts w:ascii="Times New Roman" w:hAnsi="Times New Roman"/>
        </w:rPr>
        <w:t>and to better reflect the intended curricular structure</w:t>
      </w:r>
      <w:r w:rsidR="00137E5A">
        <w:rPr>
          <w:rFonts w:ascii="Times New Roman" w:hAnsi="Times New Roman"/>
        </w:rPr>
        <w:t xml:space="preserve">, </w:t>
      </w:r>
      <w:r w:rsidR="00137E5A" w:rsidRPr="00137E5A">
        <w:rPr>
          <w:rFonts w:ascii="Times New Roman" w:hAnsi="Times New Roman"/>
        </w:rPr>
        <w:t>advisors recommended clarifying each category with fixed course levels.</w:t>
      </w:r>
      <w:r w:rsidR="00B17C37">
        <w:rPr>
          <w:rFonts w:ascii="Times New Roman" w:hAnsi="Times New Roman"/>
        </w:rPr>
        <w:t xml:space="preserve"> </w:t>
      </w:r>
      <w:r w:rsidR="00B17C37" w:rsidRPr="00B17C37">
        <w:rPr>
          <w:rFonts w:ascii="Times New Roman" w:hAnsi="Times New Roman"/>
        </w:rPr>
        <w:t>The revision removes the “or higher” language at the 2000- and 3000-level workshop requirements to ensure appropriate course sequencing</w:t>
      </w:r>
      <w:r w:rsidR="00B17C37">
        <w:rPr>
          <w:rFonts w:ascii="Times New Roman" w:hAnsi="Times New Roman"/>
        </w:rPr>
        <w:t xml:space="preserve"> </w:t>
      </w:r>
      <w:r w:rsidR="00B17C37" w:rsidRPr="00B17C37">
        <w:rPr>
          <w:rFonts w:ascii="Times New Roman" w:hAnsi="Times New Roman"/>
        </w:rPr>
        <w:t>and resolve recurring degree audit issues.</w:t>
      </w:r>
    </w:p>
    <w:p w14:paraId="654C545E" w14:textId="77777777" w:rsidR="000E18E5" w:rsidRPr="003D15D0" w:rsidRDefault="000E18E5" w:rsidP="000E18E5">
      <w:pPr>
        <w:pStyle w:val="ListParagraph"/>
        <w:numPr>
          <w:ilvl w:val="0"/>
          <w:numId w:val="5"/>
        </w:numPr>
        <w:rPr>
          <w:rFonts w:ascii="Times New Roman" w:hAnsi="Times New Roman"/>
        </w:rPr>
      </w:pPr>
      <w:r w:rsidRPr="003D15D0">
        <w:rPr>
          <w:rFonts w:ascii="Times New Roman" w:hAnsi="Times New Roman"/>
        </w:rPr>
        <w:t>Concurrence (I. Nagar)</w:t>
      </w:r>
    </w:p>
    <w:p w14:paraId="79E85FF8" w14:textId="2FE87909" w:rsidR="00E61202" w:rsidRPr="003D15D0" w:rsidRDefault="00E61202" w:rsidP="00E61202">
      <w:pPr>
        <w:pStyle w:val="ListParagraph"/>
        <w:numPr>
          <w:ilvl w:val="1"/>
          <w:numId w:val="5"/>
        </w:numPr>
        <w:rPr>
          <w:rFonts w:ascii="Times New Roman" w:hAnsi="Times New Roman"/>
        </w:rPr>
      </w:pPr>
      <w:r w:rsidRPr="003D15D0">
        <w:rPr>
          <w:rFonts w:ascii="Times New Roman" w:hAnsi="Times New Roman"/>
        </w:rPr>
        <w:lastRenderedPageBreak/>
        <w:t xml:space="preserve">Nagar: There are two items for which Meg Daly, Associate Dean </w:t>
      </w:r>
      <w:r w:rsidR="00E122DF">
        <w:rPr>
          <w:rFonts w:ascii="Times New Roman" w:hAnsi="Times New Roman"/>
        </w:rPr>
        <w:t>of</w:t>
      </w:r>
      <w:r w:rsidRPr="003D15D0">
        <w:rPr>
          <w:rFonts w:ascii="Times New Roman" w:hAnsi="Times New Roman"/>
        </w:rPr>
        <w:t xml:space="preserve"> Undergraduate </w:t>
      </w:r>
      <w:r w:rsidR="000D35AE">
        <w:rPr>
          <w:rFonts w:ascii="Times New Roman" w:hAnsi="Times New Roman"/>
        </w:rPr>
        <w:t>Education</w:t>
      </w:r>
      <w:r w:rsidRPr="003D15D0">
        <w:rPr>
          <w:rFonts w:ascii="Times New Roman" w:hAnsi="Times New Roman"/>
        </w:rPr>
        <w:t>, is requesting feedback</w:t>
      </w:r>
      <w:r w:rsidR="00E122DF">
        <w:rPr>
          <w:rFonts w:ascii="Times New Roman" w:hAnsi="Times New Roman"/>
        </w:rPr>
        <w:t xml:space="preserve"> for </w:t>
      </w:r>
      <w:r w:rsidRPr="003D15D0">
        <w:rPr>
          <w:rFonts w:ascii="Times New Roman" w:hAnsi="Times New Roman"/>
        </w:rPr>
        <w:t xml:space="preserve">ULAC, the University-Level Advisory Committee. We are not making decisions today—just providing input. The first topic is concurrence. The OAA Handbook outlines concurrence policies, but there are questions about how they should function. If two units offer similar courses, they should talk and try to work out concurrence. If they cannot, the issue goes to the college dean, and then to OAA. </w:t>
      </w:r>
      <w:r w:rsidR="00A96184">
        <w:rPr>
          <w:rFonts w:ascii="Times New Roman" w:hAnsi="Times New Roman"/>
        </w:rPr>
        <w:t>Dr. Daly</w:t>
      </w:r>
      <w:r w:rsidRPr="003D15D0">
        <w:rPr>
          <w:rFonts w:ascii="Times New Roman" w:hAnsi="Times New Roman"/>
        </w:rPr>
        <w:t xml:space="preserve">’s question is: What should it mean when a unit says </w:t>
      </w:r>
      <w:r w:rsidRPr="003D15D0">
        <w:rPr>
          <w:rFonts w:ascii="Times New Roman" w:hAnsi="Times New Roman"/>
          <w:i/>
          <w:iCs/>
        </w:rPr>
        <w:t>no</w:t>
      </w:r>
      <w:r w:rsidRPr="003D15D0">
        <w:rPr>
          <w:rFonts w:ascii="Times New Roman" w:hAnsi="Times New Roman"/>
        </w:rPr>
        <w:t xml:space="preserve"> to concurrence? </w:t>
      </w:r>
      <w:r w:rsidR="00CE578D">
        <w:rPr>
          <w:rFonts w:ascii="Times New Roman" w:hAnsi="Times New Roman"/>
        </w:rPr>
        <w:t xml:space="preserve">For </w:t>
      </w:r>
      <w:r w:rsidRPr="003D15D0">
        <w:rPr>
          <w:rFonts w:ascii="Times New Roman" w:hAnsi="Times New Roman"/>
        </w:rPr>
        <w:t xml:space="preserve">example, </w:t>
      </w:r>
      <w:r w:rsidR="00CE578D">
        <w:rPr>
          <w:rFonts w:ascii="Times New Roman" w:hAnsi="Times New Roman"/>
        </w:rPr>
        <w:t xml:space="preserve">what should happen when </w:t>
      </w:r>
      <w:r w:rsidRPr="003D15D0">
        <w:rPr>
          <w:rFonts w:ascii="Times New Roman" w:hAnsi="Times New Roman"/>
        </w:rPr>
        <w:t>two courses covering very similar content have not granted each other concurrence</w:t>
      </w:r>
      <w:r w:rsidR="00CE578D">
        <w:rPr>
          <w:rFonts w:ascii="Times New Roman" w:hAnsi="Times New Roman"/>
        </w:rPr>
        <w:t>?</w:t>
      </w:r>
    </w:p>
    <w:p w14:paraId="5573D77F" w14:textId="3B8B2CAD" w:rsidR="00FA5CD3" w:rsidRPr="003D15D0" w:rsidRDefault="00E61202" w:rsidP="00FA5CD3">
      <w:pPr>
        <w:pStyle w:val="ListParagraph"/>
        <w:numPr>
          <w:ilvl w:val="2"/>
          <w:numId w:val="5"/>
        </w:numPr>
        <w:rPr>
          <w:rFonts w:ascii="Times New Roman" w:hAnsi="Times New Roman"/>
        </w:rPr>
      </w:pPr>
      <w:r w:rsidRPr="003D15D0">
        <w:rPr>
          <w:rFonts w:ascii="Times New Roman" w:hAnsi="Times New Roman"/>
        </w:rPr>
        <w:t>Committee member: Is this question what criteria departments should use to grant or deny concurrence? Or what ASCC subcommittees should do when a proposal reaches us without concurrence?</w:t>
      </w:r>
    </w:p>
    <w:p w14:paraId="3B72B432" w14:textId="6A93325C" w:rsidR="00E61202" w:rsidRPr="003D15D0" w:rsidRDefault="00E61202" w:rsidP="00FA5CD3">
      <w:pPr>
        <w:pStyle w:val="ListParagraph"/>
        <w:numPr>
          <w:ilvl w:val="2"/>
          <w:numId w:val="5"/>
        </w:numPr>
        <w:rPr>
          <w:rFonts w:ascii="Times New Roman" w:hAnsi="Times New Roman"/>
        </w:rPr>
      </w:pPr>
      <w:r w:rsidRPr="003D15D0">
        <w:rPr>
          <w:rFonts w:ascii="Times New Roman" w:hAnsi="Times New Roman"/>
        </w:rPr>
        <w:t>Nagar: The question is: What should ASCC do w</w:t>
      </w:r>
      <w:r w:rsidR="001D4F41">
        <w:rPr>
          <w:rFonts w:ascii="Times New Roman" w:hAnsi="Times New Roman"/>
        </w:rPr>
        <w:t>hen a concurrence request is denied</w:t>
      </w:r>
      <w:r w:rsidRPr="003D15D0">
        <w:rPr>
          <w:rFonts w:ascii="Times New Roman" w:hAnsi="Times New Roman"/>
        </w:rPr>
        <w:t xml:space="preserve"> and what criteria should units use?</w:t>
      </w:r>
    </w:p>
    <w:p w14:paraId="46CF6D07" w14:textId="429C75C1" w:rsidR="00FA5CD3" w:rsidRPr="003D15D0" w:rsidRDefault="00FA5CD3" w:rsidP="00FA5CD3">
      <w:pPr>
        <w:pStyle w:val="ListParagraph"/>
        <w:numPr>
          <w:ilvl w:val="2"/>
          <w:numId w:val="5"/>
        </w:numPr>
        <w:rPr>
          <w:rFonts w:ascii="Times New Roman" w:hAnsi="Times New Roman"/>
        </w:rPr>
      </w:pPr>
      <w:r w:rsidRPr="003D15D0">
        <w:rPr>
          <w:rFonts w:ascii="Times New Roman" w:hAnsi="Times New Roman"/>
        </w:rPr>
        <w:t>Committee member: If the answer is no, does the proposal get stopped before it reaches us?</w:t>
      </w:r>
    </w:p>
    <w:p w14:paraId="1F40A720" w14:textId="60FAC0A2" w:rsidR="00531404" w:rsidRPr="003D15D0" w:rsidRDefault="00A24A39" w:rsidP="00531404">
      <w:pPr>
        <w:pStyle w:val="ListParagraph"/>
        <w:numPr>
          <w:ilvl w:val="3"/>
          <w:numId w:val="5"/>
        </w:numPr>
        <w:rPr>
          <w:rFonts w:ascii="Times New Roman" w:hAnsi="Times New Roman"/>
        </w:rPr>
      </w:pPr>
      <w:r w:rsidRPr="003D15D0">
        <w:rPr>
          <w:rFonts w:ascii="Times New Roman" w:hAnsi="Times New Roman"/>
        </w:rPr>
        <w:t>Vankeerbergen: If a proposal comes in with a denial of concurrence, the preferred approach is not to put that on a subcommittee. It would go back to the units and Andrew to resolve. We try to keep the negotiation at the unit/administrative level.</w:t>
      </w:r>
    </w:p>
    <w:p w14:paraId="51517054" w14:textId="028FC197" w:rsidR="00A24A39" w:rsidRDefault="00B43CA2" w:rsidP="006448E0">
      <w:pPr>
        <w:pStyle w:val="ListParagraph"/>
        <w:numPr>
          <w:ilvl w:val="1"/>
          <w:numId w:val="5"/>
        </w:numPr>
        <w:rPr>
          <w:rFonts w:ascii="Times New Roman" w:hAnsi="Times New Roman"/>
        </w:rPr>
      </w:pPr>
      <w:r w:rsidRPr="006448E0">
        <w:rPr>
          <w:rFonts w:ascii="Times New Roman" w:hAnsi="Times New Roman"/>
        </w:rPr>
        <w:t>Committee member: We have seen cases like the Leadership major, where some units did not give concurrence, but the proposal went forward anyway. That makes concurrence feel more like a courtesy that builds understanding, rather than a firm rule. If the answer is no, I tend to think the unit should revise and clarify the proposal so it can come back and hopefully get to yes.</w:t>
      </w:r>
    </w:p>
    <w:p w14:paraId="044B9230" w14:textId="7258BD25" w:rsidR="00FE738F" w:rsidRDefault="00FE738F" w:rsidP="006448E0">
      <w:pPr>
        <w:pStyle w:val="ListParagraph"/>
        <w:numPr>
          <w:ilvl w:val="2"/>
          <w:numId w:val="5"/>
        </w:numPr>
        <w:rPr>
          <w:rFonts w:ascii="Times New Roman" w:hAnsi="Times New Roman"/>
        </w:rPr>
      </w:pPr>
      <w:r w:rsidRPr="006448E0">
        <w:rPr>
          <w:rFonts w:ascii="Times New Roman" w:hAnsi="Times New Roman"/>
        </w:rPr>
        <w:t>Vankeerbergen: To me, concurrence is a blend of courtesy and policy. It is more than a simple FYI, but not an automatic veto. I have seen rare cases where a course stopped entirely because another unit said no, but most often it is a mechanism to encourage conversation and differentiation.</w:t>
      </w:r>
    </w:p>
    <w:p w14:paraId="655D48AF" w14:textId="0478093E" w:rsidR="00EE62C8" w:rsidRDefault="00EE62C8" w:rsidP="006448E0">
      <w:pPr>
        <w:pStyle w:val="ListParagraph"/>
        <w:numPr>
          <w:ilvl w:val="1"/>
          <w:numId w:val="5"/>
        </w:numPr>
        <w:rPr>
          <w:rFonts w:ascii="Times New Roman" w:hAnsi="Times New Roman"/>
        </w:rPr>
      </w:pPr>
      <w:r w:rsidRPr="006448E0">
        <w:rPr>
          <w:rFonts w:ascii="Times New Roman" w:hAnsi="Times New Roman"/>
        </w:rPr>
        <w:t xml:space="preserve">Committee member: Are we being asked whether we would support </w:t>
      </w:r>
      <w:r w:rsidR="0023363F" w:rsidRPr="006448E0">
        <w:rPr>
          <w:rFonts w:ascii="Times New Roman" w:hAnsi="Times New Roman"/>
        </w:rPr>
        <w:t>strengthening</w:t>
      </w:r>
      <w:r w:rsidRPr="006448E0">
        <w:rPr>
          <w:rFonts w:ascii="Times New Roman" w:hAnsi="Times New Roman"/>
        </w:rPr>
        <w:t xml:space="preserve"> the concurrence policy? Because without </w:t>
      </w:r>
      <w:r w:rsidR="00E90738" w:rsidRPr="006448E0">
        <w:rPr>
          <w:rFonts w:ascii="Times New Roman" w:hAnsi="Times New Roman"/>
        </w:rPr>
        <w:t>a stronger policy</w:t>
      </w:r>
      <w:r w:rsidRPr="006448E0">
        <w:rPr>
          <w:rFonts w:ascii="Times New Roman" w:hAnsi="Times New Roman"/>
        </w:rPr>
        <w:t xml:space="preserve">, it can feel like </w:t>
      </w:r>
      <w:r w:rsidR="00E90738" w:rsidRPr="006448E0">
        <w:rPr>
          <w:rFonts w:ascii="Times New Roman" w:hAnsi="Times New Roman"/>
        </w:rPr>
        <w:t xml:space="preserve">units are </w:t>
      </w:r>
      <w:r w:rsidR="00F67578" w:rsidRPr="006448E0">
        <w:rPr>
          <w:rFonts w:ascii="Times New Roman" w:hAnsi="Times New Roman"/>
        </w:rPr>
        <w:t>compelled to</w:t>
      </w:r>
      <w:r w:rsidRPr="006448E0">
        <w:rPr>
          <w:rFonts w:ascii="Times New Roman" w:hAnsi="Times New Roman"/>
        </w:rPr>
        <w:t xml:space="preserve"> </w:t>
      </w:r>
      <w:r w:rsidR="00F67578" w:rsidRPr="006448E0">
        <w:rPr>
          <w:rFonts w:ascii="Times New Roman" w:hAnsi="Times New Roman"/>
        </w:rPr>
        <w:t xml:space="preserve">grant </w:t>
      </w:r>
      <w:r w:rsidRPr="006448E0">
        <w:rPr>
          <w:rFonts w:ascii="Times New Roman" w:hAnsi="Times New Roman"/>
        </w:rPr>
        <w:t>concurrence</w:t>
      </w:r>
      <w:r w:rsidR="00E90738" w:rsidRPr="006448E0">
        <w:rPr>
          <w:rFonts w:ascii="Times New Roman" w:hAnsi="Times New Roman"/>
        </w:rPr>
        <w:t xml:space="preserve"> </w:t>
      </w:r>
      <w:r w:rsidRPr="006448E0">
        <w:rPr>
          <w:rFonts w:ascii="Times New Roman" w:hAnsi="Times New Roman"/>
        </w:rPr>
        <w:t xml:space="preserve">without any real ability to stop a course. </w:t>
      </w:r>
      <w:r w:rsidR="00E90738" w:rsidRPr="006448E0">
        <w:rPr>
          <w:rFonts w:ascii="Times New Roman" w:hAnsi="Times New Roman"/>
        </w:rPr>
        <w:t>However,</w:t>
      </w:r>
      <w:r w:rsidRPr="006448E0">
        <w:rPr>
          <w:rFonts w:ascii="Times New Roman" w:hAnsi="Times New Roman"/>
        </w:rPr>
        <w:t xml:space="preserve"> if</w:t>
      </w:r>
      <w:r w:rsidR="00E90738" w:rsidRPr="006448E0">
        <w:rPr>
          <w:rFonts w:ascii="Times New Roman" w:hAnsi="Times New Roman"/>
        </w:rPr>
        <w:t xml:space="preserve"> the policy is strengthened</w:t>
      </w:r>
      <w:r w:rsidRPr="006448E0">
        <w:rPr>
          <w:rFonts w:ascii="Times New Roman" w:hAnsi="Times New Roman"/>
        </w:rPr>
        <w:t xml:space="preserve">, </w:t>
      </w:r>
      <w:r w:rsidR="00F67578" w:rsidRPr="006448E0">
        <w:rPr>
          <w:rFonts w:ascii="Times New Roman" w:hAnsi="Times New Roman"/>
        </w:rPr>
        <w:t>it</w:t>
      </w:r>
      <w:r w:rsidRPr="006448E0">
        <w:rPr>
          <w:rFonts w:ascii="Times New Roman" w:hAnsi="Times New Roman"/>
        </w:rPr>
        <w:t xml:space="preserve"> </w:t>
      </w:r>
      <w:r w:rsidR="00F67578" w:rsidRPr="006448E0">
        <w:rPr>
          <w:rFonts w:ascii="Times New Roman" w:hAnsi="Times New Roman"/>
        </w:rPr>
        <w:t>could</w:t>
      </w:r>
      <w:r w:rsidRPr="006448E0">
        <w:rPr>
          <w:rFonts w:ascii="Times New Roman" w:hAnsi="Times New Roman"/>
        </w:rPr>
        <w:t xml:space="preserve"> be used against everyone, including ASC, especially as we see more encroachment on </w:t>
      </w:r>
      <w:r w:rsidR="00F67578" w:rsidRPr="006448E0">
        <w:rPr>
          <w:rFonts w:ascii="Times New Roman" w:hAnsi="Times New Roman"/>
        </w:rPr>
        <w:t>A</w:t>
      </w:r>
      <w:r w:rsidRPr="006448E0">
        <w:rPr>
          <w:rFonts w:ascii="Times New Roman" w:hAnsi="Times New Roman"/>
        </w:rPr>
        <w:t xml:space="preserve">rts and </w:t>
      </w:r>
      <w:r w:rsidR="00F67578" w:rsidRPr="006448E0">
        <w:rPr>
          <w:rFonts w:ascii="Times New Roman" w:hAnsi="Times New Roman"/>
        </w:rPr>
        <w:t>S</w:t>
      </w:r>
      <w:r w:rsidRPr="006448E0">
        <w:rPr>
          <w:rFonts w:ascii="Times New Roman" w:hAnsi="Times New Roman"/>
        </w:rPr>
        <w:t>ciences units.</w:t>
      </w:r>
    </w:p>
    <w:p w14:paraId="6573F69B" w14:textId="77777777" w:rsidR="00F661E9" w:rsidRDefault="00861583" w:rsidP="00F661E9">
      <w:pPr>
        <w:pStyle w:val="ListParagraph"/>
        <w:numPr>
          <w:ilvl w:val="2"/>
          <w:numId w:val="5"/>
        </w:numPr>
        <w:rPr>
          <w:rFonts w:ascii="Times New Roman" w:hAnsi="Times New Roman"/>
        </w:rPr>
      </w:pPr>
      <w:r w:rsidRPr="00F661E9">
        <w:rPr>
          <w:rFonts w:ascii="Times New Roman" w:hAnsi="Times New Roman"/>
        </w:rPr>
        <w:lastRenderedPageBreak/>
        <w:t>Vankeerbergen: Interdisciplinarity and the GEN Themes have made boundaries fuzzier because the structure of the Themes pushes overlap by design.</w:t>
      </w:r>
    </w:p>
    <w:p w14:paraId="1FCE7834" w14:textId="77777777" w:rsidR="00F661E9" w:rsidRDefault="00657678" w:rsidP="00F661E9">
      <w:pPr>
        <w:pStyle w:val="ListParagraph"/>
        <w:numPr>
          <w:ilvl w:val="2"/>
          <w:numId w:val="5"/>
        </w:numPr>
        <w:rPr>
          <w:rFonts w:ascii="Times New Roman" w:hAnsi="Times New Roman"/>
        </w:rPr>
      </w:pPr>
      <w:r w:rsidRPr="00F661E9">
        <w:rPr>
          <w:rFonts w:ascii="Times New Roman" w:hAnsi="Times New Roman"/>
        </w:rPr>
        <w:t xml:space="preserve">Nagar: ULAC’s policy group is seeking input </w:t>
      </w:r>
      <w:r w:rsidR="00EB7028" w:rsidRPr="00F661E9">
        <w:rPr>
          <w:rFonts w:ascii="Times New Roman" w:hAnsi="Times New Roman"/>
        </w:rPr>
        <w:t xml:space="preserve">on concurrence </w:t>
      </w:r>
      <w:r w:rsidR="00F67578" w:rsidRPr="00F661E9">
        <w:rPr>
          <w:rFonts w:ascii="Times New Roman" w:hAnsi="Times New Roman"/>
        </w:rPr>
        <w:t>across the</w:t>
      </w:r>
      <w:r w:rsidRPr="00F661E9">
        <w:rPr>
          <w:rFonts w:ascii="Times New Roman" w:hAnsi="Times New Roman"/>
        </w:rPr>
        <w:t xml:space="preserve"> colleges. </w:t>
      </w:r>
    </w:p>
    <w:p w14:paraId="18D6F2CA" w14:textId="77777777" w:rsidR="00DB4D2A" w:rsidRDefault="00245047" w:rsidP="00DB4D2A">
      <w:pPr>
        <w:pStyle w:val="ListParagraph"/>
        <w:numPr>
          <w:ilvl w:val="1"/>
          <w:numId w:val="5"/>
        </w:numPr>
        <w:rPr>
          <w:rFonts w:ascii="Times New Roman" w:hAnsi="Times New Roman"/>
        </w:rPr>
      </w:pPr>
      <w:r w:rsidRPr="00F661E9">
        <w:rPr>
          <w:rFonts w:ascii="Times New Roman" w:hAnsi="Times New Roman"/>
        </w:rPr>
        <w:t>Committee member: This is also about the university’s commitment to faculty governance. If we develop rules with real consequences, will they actually be observed and applied consistently? We have seen situations where a discipline lacked the rigor to teach the subject. If a unit denies concurrence, would that be respected up the chain? Likewise, who protects ASC when other units deny our proposals?</w:t>
      </w:r>
    </w:p>
    <w:p w14:paraId="1ADC9A07" w14:textId="77777777" w:rsidR="00DB4D2A" w:rsidRDefault="00DB4D2A" w:rsidP="00DB4D2A">
      <w:pPr>
        <w:pStyle w:val="ListParagraph"/>
        <w:ind w:left="1800"/>
        <w:rPr>
          <w:rFonts w:ascii="Times New Roman" w:hAnsi="Times New Roman"/>
        </w:rPr>
      </w:pPr>
    </w:p>
    <w:p w14:paraId="32BAFFDE" w14:textId="092CE868" w:rsidR="00245047" w:rsidRPr="00DB4D2A" w:rsidRDefault="00021821" w:rsidP="00DB4D2A">
      <w:pPr>
        <w:pStyle w:val="ListParagraph"/>
        <w:ind w:left="1800"/>
        <w:rPr>
          <w:rFonts w:ascii="Times New Roman" w:hAnsi="Times New Roman"/>
        </w:rPr>
      </w:pPr>
      <w:r w:rsidRPr="00DB4D2A">
        <w:rPr>
          <w:rFonts w:ascii="Times New Roman" w:hAnsi="Times New Roman"/>
        </w:rPr>
        <w:t>I do not think concurrence should be purely informational. It should have enough force to derail some proposals where disciplinary boundaries really matter. But it should not function as an automatic veto that allows a unit to sit indefinitely on a topic that another unit might teach from a different perspective.</w:t>
      </w:r>
      <w:r w:rsidR="008A35E7" w:rsidRPr="00DB4D2A">
        <w:rPr>
          <w:rFonts w:ascii="Times New Roman" w:hAnsi="Times New Roman"/>
        </w:rPr>
        <w:t xml:space="preserve"> ASCC could be an appropriate place to interpret concurrence disputes within ASC, with a higher-level body doing so when cross-college issues arise.</w:t>
      </w:r>
    </w:p>
    <w:p w14:paraId="22B04E26" w14:textId="7AA3A06C" w:rsidR="00021821" w:rsidRPr="003D15D0" w:rsidRDefault="0056783E" w:rsidP="00245047">
      <w:pPr>
        <w:pStyle w:val="ListParagraph"/>
        <w:numPr>
          <w:ilvl w:val="2"/>
          <w:numId w:val="5"/>
        </w:numPr>
        <w:rPr>
          <w:rFonts w:ascii="Times New Roman" w:hAnsi="Times New Roman"/>
        </w:rPr>
      </w:pPr>
      <w:r w:rsidRPr="003D15D0">
        <w:rPr>
          <w:rFonts w:ascii="Times New Roman" w:hAnsi="Times New Roman"/>
        </w:rPr>
        <w:t>Committee member: We also have to acknowledge that enrollment-based budgeting fuels these conflicts, especially in social sciences, history, philosophy, and related fields that feel particularly encroached upon.</w:t>
      </w:r>
    </w:p>
    <w:p w14:paraId="4C7F9A52" w14:textId="3FC06957" w:rsidR="00B10E7C" w:rsidRPr="003D15D0" w:rsidRDefault="00B10E7C" w:rsidP="00B10E7C">
      <w:pPr>
        <w:pStyle w:val="ListParagraph"/>
        <w:numPr>
          <w:ilvl w:val="1"/>
          <w:numId w:val="5"/>
        </w:numPr>
        <w:rPr>
          <w:rFonts w:ascii="Times New Roman" w:hAnsi="Times New Roman"/>
        </w:rPr>
      </w:pPr>
      <w:r w:rsidRPr="003D15D0">
        <w:rPr>
          <w:rFonts w:ascii="Times New Roman" w:hAnsi="Times New Roman"/>
        </w:rPr>
        <w:t xml:space="preserve">Nagar: </w:t>
      </w:r>
      <w:r w:rsidR="0076567C" w:rsidRPr="003D15D0">
        <w:rPr>
          <w:rFonts w:ascii="Times New Roman" w:hAnsi="Times New Roman"/>
        </w:rPr>
        <w:t>The last concurrence question is whether courses that shift from non-GE to GE, or from Foundations to Themes, should go back out for concurrence again.</w:t>
      </w:r>
    </w:p>
    <w:p w14:paraId="694A91A7" w14:textId="1881F97A" w:rsidR="004653A7" w:rsidRDefault="004653A7" w:rsidP="006A4BD5">
      <w:pPr>
        <w:pStyle w:val="ListParagraph"/>
        <w:numPr>
          <w:ilvl w:val="2"/>
          <w:numId w:val="5"/>
        </w:numPr>
        <w:rPr>
          <w:rFonts w:ascii="Times New Roman" w:hAnsi="Times New Roman"/>
        </w:rPr>
      </w:pPr>
      <w:r w:rsidRPr="003D15D0">
        <w:rPr>
          <w:rFonts w:ascii="Times New Roman" w:hAnsi="Times New Roman"/>
        </w:rPr>
        <w:t>Vankeerbergen: In theory, that would reflect new breadth and potential enrollment shifts, but in practice it would dramatically increase the volume of concurrence requests. Many ASC courses have already moved into Themes without re-requested concurrence.</w:t>
      </w:r>
      <w:r w:rsidR="006A4BD5">
        <w:rPr>
          <w:rFonts w:ascii="Times New Roman" w:hAnsi="Times New Roman"/>
        </w:rPr>
        <w:t xml:space="preserve">  Often the concern is that when a course was conceived in Unit A, Unit B granted concurrence because the course would be strictly aimed at students in Unit A’s major.  However, when Unit A subtly alters that existing course in order to add it to the General Education, Unit B might now be concerned that it would appeal to more students and draw enrollments away from their GE course in the same/similar category.</w:t>
      </w:r>
    </w:p>
    <w:p w14:paraId="24332668" w14:textId="42CF66CC" w:rsidR="006A4BD5" w:rsidRDefault="006A4BD5" w:rsidP="006A4BD5">
      <w:pPr>
        <w:pStyle w:val="ListParagraph"/>
        <w:numPr>
          <w:ilvl w:val="2"/>
          <w:numId w:val="5"/>
        </w:numPr>
        <w:rPr>
          <w:rFonts w:ascii="Times New Roman" w:hAnsi="Times New Roman"/>
        </w:rPr>
      </w:pPr>
      <w:r>
        <w:rPr>
          <w:rFonts w:ascii="Times New Roman" w:hAnsi="Times New Roman"/>
        </w:rPr>
        <w:t xml:space="preserve">Committee member: This is idealistic, but concurrence should be based on curricular overlap, not </w:t>
      </w:r>
      <w:r w:rsidR="00E50E14">
        <w:rPr>
          <w:rFonts w:ascii="Times New Roman" w:hAnsi="Times New Roman"/>
        </w:rPr>
        <w:t>concerns about funding.</w:t>
      </w:r>
    </w:p>
    <w:p w14:paraId="1740BC00" w14:textId="4D4C7358" w:rsidR="00E50E14" w:rsidRPr="006A4BD5" w:rsidRDefault="00E50E14" w:rsidP="006A4BD5">
      <w:pPr>
        <w:pStyle w:val="ListParagraph"/>
        <w:numPr>
          <w:ilvl w:val="2"/>
          <w:numId w:val="5"/>
        </w:numPr>
        <w:rPr>
          <w:rFonts w:ascii="Times New Roman" w:hAnsi="Times New Roman"/>
        </w:rPr>
      </w:pPr>
      <w:r>
        <w:rPr>
          <w:rFonts w:ascii="Times New Roman" w:hAnsi="Times New Roman"/>
        </w:rPr>
        <w:t>Committee member: Practically, though, we need to understand that this is going to have an outsized effect on some units.</w:t>
      </w:r>
    </w:p>
    <w:p w14:paraId="3C4D8B97" w14:textId="77777777" w:rsidR="000E18E5" w:rsidRPr="003D15D0" w:rsidRDefault="000E18E5" w:rsidP="000E18E5">
      <w:pPr>
        <w:pStyle w:val="ListParagraph"/>
        <w:numPr>
          <w:ilvl w:val="0"/>
          <w:numId w:val="5"/>
        </w:numPr>
        <w:rPr>
          <w:rFonts w:ascii="Times New Roman" w:hAnsi="Times New Roman"/>
        </w:rPr>
      </w:pPr>
      <w:r w:rsidRPr="003D15D0">
        <w:rPr>
          <w:rFonts w:ascii="Times New Roman" w:hAnsi="Times New Roman"/>
        </w:rPr>
        <w:lastRenderedPageBreak/>
        <w:t>S/U Transfer Courses (I. Nagar)</w:t>
      </w:r>
    </w:p>
    <w:p w14:paraId="1A8C70BA" w14:textId="1BAF4F7F" w:rsidR="00FA5CD3" w:rsidRPr="003D15D0" w:rsidRDefault="00FA5CD3" w:rsidP="00FA5CD3">
      <w:pPr>
        <w:pStyle w:val="ListParagraph"/>
        <w:numPr>
          <w:ilvl w:val="1"/>
          <w:numId w:val="5"/>
        </w:numPr>
        <w:rPr>
          <w:rFonts w:ascii="Times New Roman" w:hAnsi="Times New Roman"/>
        </w:rPr>
      </w:pPr>
      <w:r w:rsidRPr="003D15D0">
        <w:rPr>
          <w:rFonts w:ascii="Times New Roman" w:hAnsi="Times New Roman"/>
        </w:rPr>
        <w:t>Nagar: The second topic is whether pass/fail or S/U transfer courses should be allowed to count toward the GE. Right now, nonstandard grades are eligible for transfer evaluation, but the question is whether they should be permitted to count toward GE requirements.</w:t>
      </w:r>
    </w:p>
    <w:p w14:paraId="1DBEF1BE" w14:textId="22077FF7" w:rsidR="00FA5CD3" w:rsidRPr="003D15D0" w:rsidRDefault="00FA5CD3" w:rsidP="00FA5CD3">
      <w:pPr>
        <w:pStyle w:val="ListParagraph"/>
        <w:numPr>
          <w:ilvl w:val="2"/>
          <w:numId w:val="5"/>
        </w:numPr>
        <w:rPr>
          <w:rFonts w:ascii="Times New Roman" w:hAnsi="Times New Roman"/>
        </w:rPr>
      </w:pPr>
      <w:r w:rsidRPr="003D15D0">
        <w:rPr>
          <w:rFonts w:ascii="Times New Roman" w:hAnsi="Times New Roman"/>
        </w:rPr>
        <w:t>Vankeerbergen: Is this S/U only, or also pass/fail?</w:t>
      </w:r>
    </w:p>
    <w:p w14:paraId="22E5CC80" w14:textId="51953D3A" w:rsidR="00FA5CD3" w:rsidRPr="003D15D0" w:rsidRDefault="00FA5CD3" w:rsidP="00FA5CD3">
      <w:pPr>
        <w:pStyle w:val="ListParagraph"/>
        <w:numPr>
          <w:ilvl w:val="2"/>
          <w:numId w:val="5"/>
        </w:numPr>
        <w:rPr>
          <w:rFonts w:ascii="Times New Roman" w:hAnsi="Times New Roman"/>
        </w:rPr>
      </w:pPr>
      <w:r w:rsidRPr="003D15D0">
        <w:rPr>
          <w:rFonts w:ascii="Times New Roman" w:hAnsi="Times New Roman"/>
        </w:rPr>
        <w:t>Jenkins: Both. Institutions use different systems, so we see both.</w:t>
      </w:r>
    </w:p>
    <w:p w14:paraId="4663B8E2" w14:textId="77777777" w:rsidR="00FA5CD3" w:rsidRPr="003D15D0" w:rsidRDefault="00FA5CD3" w:rsidP="00FA5CD3">
      <w:pPr>
        <w:pStyle w:val="ListParagraph"/>
        <w:numPr>
          <w:ilvl w:val="1"/>
          <w:numId w:val="5"/>
        </w:numPr>
        <w:rPr>
          <w:rFonts w:ascii="Times New Roman" w:hAnsi="Times New Roman"/>
        </w:rPr>
      </w:pPr>
      <w:r w:rsidRPr="003D15D0">
        <w:rPr>
          <w:rFonts w:ascii="Times New Roman" w:hAnsi="Times New Roman"/>
        </w:rPr>
        <w:t xml:space="preserve">Nagar: I am not in favor of allowing pass/fail courses to count toward the GE. First, it affects credit-hour generation for ASC units and others. Second, it lowers rigor; a pass could mean a D+, and that’s not appropriate for GE outcomes. </w:t>
      </w:r>
    </w:p>
    <w:p w14:paraId="164B98A8" w14:textId="6B1741C4" w:rsidR="00FA5CD3" w:rsidRPr="003D15D0" w:rsidRDefault="00FA5CD3" w:rsidP="00FA5CD3">
      <w:pPr>
        <w:pStyle w:val="ListParagraph"/>
        <w:numPr>
          <w:ilvl w:val="1"/>
          <w:numId w:val="5"/>
        </w:numPr>
        <w:rPr>
          <w:rFonts w:ascii="Times New Roman" w:hAnsi="Times New Roman"/>
        </w:rPr>
      </w:pPr>
      <w:r w:rsidRPr="003D15D0">
        <w:rPr>
          <w:rFonts w:ascii="Times New Roman" w:hAnsi="Times New Roman"/>
        </w:rPr>
        <w:t xml:space="preserve">Committee member: What are we currently doing? </w:t>
      </w:r>
    </w:p>
    <w:p w14:paraId="16135061" w14:textId="5C75A0B0" w:rsidR="00FA5CD3" w:rsidRPr="003D15D0" w:rsidRDefault="00FA5CD3" w:rsidP="00AB2B04">
      <w:pPr>
        <w:pStyle w:val="ListParagraph"/>
        <w:numPr>
          <w:ilvl w:val="2"/>
          <w:numId w:val="5"/>
        </w:numPr>
        <w:rPr>
          <w:rFonts w:ascii="Times New Roman" w:hAnsi="Times New Roman"/>
        </w:rPr>
      </w:pPr>
      <w:r w:rsidRPr="003D15D0">
        <w:rPr>
          <w:rFonts w:ascii="Times New Roman" w:hAnsi="Times New Roman"/>
        </w:rPr>
        <w:t xml:space="preserve">Jenkins: </w:t>
      </w:r>
      <w:r w:rsidR="00F63BF0" w:rsidRPr="003D15D0">
        <w:rPr>
          <w:rFonts w:ascii="Times New Roman" w:hAnsi="Times New Roman"/>
        </w:rPr>
        <w:t>Currently, students here cannot use pass/fail for GE courses</w:t>
      </w:r>
      <w:r w:rsidR="00274068" w:rsidRPr="003D15D0">
        <w:rPr>
          <w:rFonts w:ascii="Times New Roman" w:hAnsi="Times New Roman"/>
        </w:rPr>
        <w:t>, b</w:t>
      </w:r>
      <w:r w:rsidR="00F63BF0" w:rsidRPr="003D15D0">
        <w:rPr>
          <w:rFonts w:ascii="Times New Roman" w:hAnsi="Times New Roman"/>
        </w:rPr>
        <w:t>ut transfer students arrive with P/N or S/U grades from institutions that encourage or require it. If we refuse that credit, we force students to retake courses even though they were encouraged to take it S/U at their home institution.</w:t>
      </w:r>
      <w:r w:rsidR="00ED4C11" w:rsidRPr="003D15D0">
        <w:rPr>
          <w:rFonts w:ascii="Times New Roman" w:hAnsi="Times New Roman"/>
        </w:rPr>
        <w:t xml:space="preserve"> According to the Registrar, we have no way to tell whether a student chose S/U or was required to take it that way.</w:t>
      </w:r>
    </w:p>
    <w:p w14:paraId="76FBBDC1" w14:textId="12E6E5D7" w:rsidR="00FA5CD3" w:rsidRPr="003D15D0" w:rsidRDefault="00AB2B04" w:rsidP="00FA5CD3">
      <w:pPr>
        <w:pStyle w:val="ListParagraph"/>
        <w:numPr>
          <w:ilvl w:val="1"/>
          <w:numId w:val="5"/>
        </w:numPr>
        <w:rPr>
          <w:rFonts w:ascii="Times New Roman" w:hAnsi="Times New Roman"/>
        </w:rPr>
      </w:pPr>
      <w:r w:rsidRPr="003D15D0">
        <w:rPr>
          <w:rFonts w:ascii="Times New Roman" w:hAnsi="Times New Roman"/>
        </w:rPr>
        <w:t>Nagar: Is there a way to treat the GEN Foundations and Themes differently?</w:t>
      </w:r>
      <w:r w:rsidR="00404CFF" w:rsidRPr="003D15D0">
        <w:rPr>
          <w:rFonts w:ascii="Times New Roman" w:hAnsi="Times New Roman"/>
        </w:rPr>
        <w:t xml:space="preserve"> For example, maybe S/U could be allowed for Foundations in limited circumstances but not for Themes because they are more advanced. </w:t>
      </w:r>
    </w:p>
    <w:p w14:paraId="4DC887C7" w14:textId="2FDFE9B7" w:rsidR="00404CFF" w:rsidRPr="003D15D0" w:rsidRDefault="00182287" w:rsidP="00182287">
      <w:pPr>
        <w:pStyle w:val="ListParagraph"/>
        <w:numPr>
          <w:ilvl w:val="2"/>
          <w:numId w:val="5"/>
        </w:numPr>
        <w:rPr>
          <w:rFonts w:ascii="Times New Roman" w:hAnsi="Times New Roman"/>
        </w:rPr>
      </w:pPr>
      <w:r w:rsidRPr="003D15D0">
        <w:rPr>
          <w:rFonts w:ascii="Times New Roman" w:hAnsi="Times New Roman"/>
        </w:rPr>
        <w:t>Committee member: I can see a case for allowing S/U for certain Foundations—especially English 1110, since many institutions use S/U as a transition tool for first-year writing.</w:t>
      </w:r>
    </w:p>
    <w:p w14:paraId="72050F99" w14:textId="455FF10A" w:rsidR="003F6A53" w:rsidRPr="003D15D0" w:rsidRDefault="003F6A53" w:rsidP="003F6A53">
      <w:pPr>
        <w:pStyle w:val="ListParagraph"/>
        <w:numPr>
          <w:ilvl w:val="1"/>
          <w:numId w:val="5"/>
        </w:numPr>
        <w:rPr>
          <w:rFonts w:ascii="Times New Roman" w:hAnsi="Times New Roman"/>
        </w:rPr>
      </w:pPr>
      <w:r w:rsidRPr="003D15D0">
        <w:rPr>
          <w:rFonts w:ascii="Times New Roman" w:hAnsi="Times New Roman"/>
        </w:rPr>
        <w:t>Nagar: Thank you all for your feedback. I will take this forward and share updates when available.</w:t>
      </w:r>
    </w:p>
    <w:p w14:paraId="05F0F9D9" w14:textId="77777777" w:rsidR="000E18E5" w:rsidRPr="003D15D0" w:rsidRDefault="000E18E5" w:rsidP="000E18E5">
      <w:pPr>
        <w:pStyle w:val="ListParagraph"/>
        <w:numPr>
          <w:ilvl w:val="0"/>
          <w:numId w:val="5"/>
        </w:numPr>
        <w:rPr>
          <w:rFonts w:ascii="Times New Roman" w:hAnsi="Times New Roman"/>
        </w:rPr>
      </w:pPr>
      <w:r w:rsidRPr="003D15D0">
        <w:rPr>
          <w:rFonts w:ascii="Times New Roman" w:hAnsi="Times New Roman"/>
        </w:rPr>
        <w:t>ASL major informational item (A. Martin)</w:t>
      </w:r>
    </w:p>
    <w:p w14:paraId="4C706AC5" w14:textId="2915C4DC" w:rsidR="000930DA" w:rsidRPr="003D15D0" w:rsidRDefault="000930DA" w:rsidP="00425779">
      <w:pPr>
        <w:pStyle w:val="ListParagraph"/>
        <w:numPr>
          <w:ilvl w:val="1"/>
          <w:numId w:val="5"/>
        </w:numPr>
        <w:rPr>
          <w:rFonts w:ascii="Times New Roman" w:hAnsi="Times New Roman"/>
        </w:rPr>
      </w:pPr>
      <w:r w:rsidRPr="003D15D0">
        <w:rPr>
          <w:rFonts w:ascii="Times New Roman" w:hAnsi="Times New Roman"/>
        </w:rPr>
        <w:t>Martin: The ASL major we approve</w:t>
      </w:r>
      <w:r w:rsidR="00E50E14">
        <w:rPr>
          <w:rFonts w:ascii="Times New Roman" w:hAnsi="Times New Roman"/>
        </w:rPr>
        <w:t>d</w:t>
      </w:r>
      <w:r w:rsidR="006B1E18">
        <w:rPr>
          <w:rFonts w:ascii="Times New Roman" w:hAnsi="Times New Roman"/>
        </w:rPr>
        <w:t xml:space="preserve">, </w:t>
      </w:r>
      <w:r w:rsidRPr="003D15D0">
        <w:rPr>
          <w:rFonts w:ascii="Times New Roman" w:hAnsi="Times New Roman"/>
        </w:rPr>
        <w:t>originally titled “American Sign Language Access, Equity, Inclusion”</w:t>
      </w:r>
      <w:r w:rsidR="006B1E18">
        <w:rPr>
          <w:rFonts w:ascii="Times New Roman" w:hAnsi="Times New Roman"/>
        </w:rPr>
        <w:t xml:space="preserve">, </w:t>
      </w:r>
      <w:r w:rsidRPr="003D15D0">
        <w:rPr>
          <w:rFonts w:ascii="Times New Roman" w:hAnsi="Times New Roman"/>
        </w:rPr>
        <w:t>was flagged by ODHE</w:t>
      </w:r>
      <w:r w:rsidR="00B973EF" w:rsidRPr="003D15D0">
        <w:rPr>
          <w:rFonts w:ascii="Times New Roman" w:hAnsi="Times New Roman"/>
        </w:rPr>
        <w:t xml:space="preserve"> for the title. </w:t>
      </w:r>
      <w:r w:rsidRPr="003D15D0">
        <w:rPr>
          <w:rFonts w:ascii="Times New Roman" w:hAnsi="Times New Roman"/>
        </w:rPr>
        <w:t>There seems to be a growing distinction between how existing curriculum is treated versus new curriculum. Existing programs continue to operate as usual, but new ones</w:t>
      </w:r>
      <w:r w:rsidR="00B973EF" w:rsidRPr="003D15D0">
        <w:rPr>
          <w:rFonts w:ascii="Times New Roman" w:hAnsi="Times New Roman"/>
        </w:rPr>
        <w:t xml:space="preserve"> </w:t>
      </w:r>
      <w:r w:rsidRPr="003D15D0">
        <w:rPr>
          <w:rFonts w:ascii="Times New Roman" w:hAnsi="Times New Roman"/>
        </w:rPr>
        <w:t xml:space="preserve">are encountering closer scrutiny. I met with Randy Smith and our government affairs liaison to go through the concerns. We emphasized issues of access and the fact that the Deaf community faces structural barriers to participation, so the curriculum’s focus is appropriate. Nonetheless, ODHE raised concerns about </w:t>
      </w:r>
      <w:r w:rsidR="00B928BC" w:rsidRPr="003D15D0">
        <w:rPr>
          <w:rFonts w:ascii="Times New Roman" w:hAnsi="Times New Roman"/>
        </w:rPr>
        <w:t xml:space="preserve">terminology, so </w:t>
      </w:r>
      <w:r w:rsidRPr="003D15D0">
        <w:rPr>
          <w:rFonts w:ascii="Times New Roman" w:hAnsi="Times New Roman"/>
        </w:rPr>
        <w:t xml:space="preserve">we made minor adjustments. The revised title is </w:t>
      </w:r>
      <w:r w:rsidR="00D1474B" w:rsidRPr="003D15D0">
        <w:rPr>
          <w:rFonts w:ascii="Times New Roman" w:hAnsi="Times New Roman"/>
        </w:rPr>
        <w:t>“</w:t>
      </w:r>
      <w:r w:rsidRPr="003D15D0">
        <w:rPr>
          <w:rFonts w:ascii="Times New Roman" w:hAnsi="Times New Roman"/>
        </w:rPr>
        <w:t>American Sign Language Applied Communication and Community Studies</w:t>
      </w:r>
      <w:r w:rsidR="00D1474B" w:rsidRPr="003D15D0">
        <w:rPr>
          <w:rFonts w:ascii="Times New Roman" w:hAnsi="Times New Roman"/>
        </w:rPr>
        <w:t>”</w:t>
      </w:r>
      <w:r w:rsidRPr="003D15D0">
        <w:rPr>
          <w:rFonts w:ascii="Times New Roman" w:hAnsi="Times New Roman"/>
        </w:rPr>
        <w:t xml:space="preserve">. A few course titles were also modified. </w:t>
      </w:r>
    </w:p>
    <w:p w14:paraId="6366165A" w14:textId="28E679FD" w:rsidR="00F7742B" w:rsidRPr="003D15D0" w:rsidRDefault="00F7742B" w:rsidP="00236804">
      <w:pPr>
        <w:pStyle w:val="ListParagraph"/>
        <w:numPr>
          <w:ilvl w:val="2"/>
          <w:numId w:val="5"/>
        </w:numPr>
        <w:rPr>
          <w:rFonts w:ascii="Times New Roman" w:hAnsi="Times New Roman"/>
        </w:rPr>
      </w:pPr>
      <w:r w:rsidRPr="003D15D0">
        <w:rPr>
          <w:rFonts w:ascii="Times New Roman" w:hAnsi="Times New Roman"/>
        </w:rPr>
        <w:lastRenderedPageBreak/>
        <w:t>Vankeerbergen: None of these changes alter the actual curriculum. It is essentially the same major with some wording adjustments to address ODHE’s concerns.</w:t>
      </w:r>
    </w:p>
    <w:p w14:paraId="76C85D53" w14:textId="7BA8873B" w:rsidR="003322BE" w:rsidRPr="003D15D0" w:rsidRDefault="003322BE" w:rsidP="00425779">
      <w:pPr>
        <w:pStyle w:val="ListParagraph"/>
        <w:numPr>
          <w:ilvl w:val="1"/>
          <w:numId w:val="5"/>
        </w:numPr>
        <w:rPr>
          <w:rFonts w:ascii="Times New Roman" w:hAnsi="Times New Roman"/>
        </w:rPr>
      </w:pPr>
      <w:r w:rsidRPr="003D15D0">
        <w:rPr>
          <w:rFonts w:ascii="Times New Roman" w:hAnsi="Times New Roman"/>
        </w:rPr>
        <w:t>Martin: Looking ahead, upcoming majors are unlikely to raise similar issues, but this one sits directly in areas the state is watching closely. We will need to monitor how ODHE staff respond</w:t>
      </w:r>
      <w:r w:rsidR="00236804">
        <w:rPr>
          <w:rFonts w:ascii="Times New Roman" w:hAnsi="Times New Roman"/>
        </w:rPr>
        <w:t>.</w:t>
      </w:r>
    </w:p>
    <w:p w14:paraId="08ADB315" w14:textId="77777777" w:rsidR="000E18E5" w:rsidRPr="003D15D0" w:rsidRDefault="000E18E5" w:rsidP="000E18E5">
      <w:pPr>
        <w:pStyle w:val="ListParagraph"/>
        <w:numPr>
          <w:ilvl w:val="0"/>
          <w:numId w:val="5"/>
        </w:numPr>
        <w:rPr>
          <w:rFonts w:ascii="Times New Roman" w:hAnsi="Times New Roman"/>
        </w:rPr>
      </w:pPr>
      <w:r w:rsidRPr="003D15D0">
        <w:rPr>
          <w:rFonts w:ascii="Times New Roman" w:hAnsi="Times New Roman"/>
        </w:rPr>
        <w:t>Recording in Classes (A. Martin)</w:t>
      </w:r>
    </w:p>
    <w:p w14:paraId="6B41689E" w14:textId="014242F3" w:rsidR="002F0036" w:rsidRPr="003D15D0" w:rsidRDefault="003E16FB" w:rsidP="00CB35E0">
      <w:pPr>
        <w:pStyle w:val="ListParagraph"/>
        <w:numPr>
          <w:ilvl w:val="1"/>
          <w:numId w:val="5"/>
        </w:numPr>
        <w:rPr>
          <w:rFonts w:ascii="Times New Roman" w:hAnsi="Times New Roman"/>
        </w:rPr>
      </w:pPr>
      <w:r w:rsidRPr="003D15D0">
        <w:rPr>
          <w:rFonts w:ascii="Times New Roman" w:hAnsi="Times New Roman"/>
        </w:rPr>
        <w:t xml:space="preserve">Martin: </w:t>
      </w:r>
      <w:r w:rsidR="00E50E14">
        <w:rPr>
          <w:rFonts w:ascii="Times New Roman" w:hAnsi="Times New Roman"/>
        </w:rPr>
        <w:t>In a previous ASCC meeting, w</w:t>
      </w:r>
      <w:r w:rsidRPr="003D15D0">
        <w:rPr>
          <w:rFonts w:ascii="Times New Roman" w:hAnsi="Times New Roman"/>
        </w:rPr>
        <w:t>e mistakenly said instructors could ban recording in the classroom because it was in the Ohio Revised Code, but that language applied to one</w:t>
      </w:r>
      <w:r w:rsidR="00F63BC6" w:rsidRPr="003D15D0">
        <w:rPr>
          <w:rFonts w:ascii="Times New Roman" w:hAnsi="Times New Roman"/>
        </w:rPr>
        <w:t xml:space="preserve"> college that has a carveout for this</w:t>
      </w:r>
      <w:r w:rsidRPr="003D15D0">
        <w:rPr>
          <w:rFonts w:ascii="Times New Roman" w:hAnsi="Times New Roman"/>
        </w:rPr>
        <w:t xml:space="preserve">. Every public institution in Ohio has its own section of the Revised Code, and </w:t>
      </w:r>
      <w:r w:rsidR="00F63BC6" w:rsidRPr="003D15D0">
        <w:rPr>
          <w:rFonts w:ascii="Times New Roman" w:hAnsi="Times New Roman"/>
        </w:rPr>
        <w:t>this college</w:t>
      </w:r>
      <w:r w:rsidRPr="003D15D0">
        <w:rPr>
          <w:rFonts w:ascii="Times New Roman" w:hAnsi="Times New Roman"/>
        </w:rPr>
        <w:t xml:space="preserve"> included a provision stating that recording in the classroom is not permitted. </w:t>
      </w:r>
      <w:r w:rsidR="002F0036" w:rsidRPr="003D15D0">
        <w:rPr>
          <w:rFonts w:ascii="Times New Roman" w:hAnsi="Times New Roman"/>
        </w:rPr>
        <w:t>According to Legal Affairs. Ohio is a one-party consent state, which means a person can record without the other party’s consent.</w:t>
      </w:r>
      <w:r w:rsidR="00CB35E0" w:rsidRPr="003D15D0">
        <w:rPr>
          <w:rFonts w:ascii="Times New Roman" w:hAnsi="Times New Roman"/>
        </w:rPr>
        <w:t xml:space="preserve"> </w:t>
      </w:r>
      <w:r w:rsidR="002F0036" w:rsidRPr="003D15D0">
        <w:rPr>
          <w:rFonts w:ascii="Times New Roman" w:hAnsi="Times New Roman"/>
        </w:rPr>
        <w:t>We would prefer to have the option to prohibit recording unless required for accessibility, and we are hoping OSU Legal can help us determine what is possible.</w:t>
      </w:r>
      <w:r w:rsidR="00031A99" w:rsidRPr="003D15D0">
        <w:rPr>
          <w:rFonts w:ascii="Times New Roman" w:hAnsi="Times New Roman"/>
        </w:rPr>
        <w:t xml:space="preserve"> The legal advice for now is that we cannot create a blanket policy banning recording.</w:t>
      </w:r>
      <w:r w:rsidR="00D33FE2" w:rsidRPr="003D15D0">
        <w:rPr>
          <w:rFonts w:ascii="Times New Roman" w:hAnsi="Times New Roman"/>
        </w:rPr>
        <w:t xml:space="preserve"> I have raised these concerns with Randy Smith, particularly scenarios where a student records class content, posts it online, or even sells it. We want tools to maintain control of classroom content.</w:t>
      </w:r>
    </w:p>
    <w:p w14:paraId="205260CB" w14:textId="05A3E02A" w:rsidR="003E16FB" w:rsidRPr="003D15D0" w:rsidRDefault="00D03D66" w:rsidP="002517AE">
      <w:pPr>
        <w:pStyle w:val="ListParagraph"/>
        <w:numPr>
          <w:ilvl w:val="2"/>
          <w:numId w:val="5"/>
        </w:numPr>
        <w:rPr>
          <w:rFonts w:ascii="Times New Roman" w:hAnsi="Times New Roman"/>
        </w:rPr>
      </w:pPr>
      <w:r w:rsidRPr="003D15D0">
        <w:rPr>
          <w:rFonts w:ascii="Times New Roman" w:hAnsi="Times New Roman"/>
        </w:rPr>
        <w:t>Committee member: I worry about students recording lectures or using AI to manipulate recordings. I also have</w:t>
      </w:r>
      <w:r w:rsidRPr="00D03D66">
        <w:rPr>
          <w:rFonts w:ascii="Times New Roman" w:hAnsi="Times New Roman"/>
        </w:rPr>
        <w:t xml:space="preserve"> heard concerns from students who feel unable to speak freely in class if they believe they are being recorded</w:t>
      </w:r>
      <w:r w:rsidR="002517AE" w:rsidRPr="003D15D0">
        <w:rPr>
          <w:rFonts w:ascii="Times New Roman" w:hAnsi="Times New Roman"/>
        </w:rPr>
        <w:t>.</w:t>
      </w:r>
    </w:p>
    <w:p w14:paraId="2271869C" w14:textId="541766CC" w:rsidR="008366AE" w:rsidRPr="003D15D0" w:rsidRDefault="000E18E5" w:rsidP="000E18E5">
      <w:pPr>
        <w:pStyle w:val="ListParagraph"/>
        <w:numPr>
          <w:ilvl w:val="0"/>
          <w:numId w:val="5"/>
        </w:numPr>
        <w:rPr>
          <w:rFonts w:ascii="Times New Roman" w:hAnsi="Times New Roman"/>
        </w:rPr>
      </w:pPr>
      <w:r w:rsidRPr="003D15D0">
        <w:rPr>
          <w:rFonts w:ascii="Times New Roman" w:hAnsi="Times New Roman"/>
        </w:rPr>
        <w:t>Subcommittee Updates</w:t>
      </w:r>
    </w:p>
    <w:p w14:paraId="3C14EF4B" w14:textId="4CDFCA10" w:rsidR="00AE4ED8" w:rsidRPr="003D15D0" w:rsidRDefault="00AE4ED8" w:rsidP="00AE4ED8">
      <w:pPr>
        <w:pStyle w:val="ListParagraph"/>
        <w:numPr>
          <w:ilvl w:val="1"/>
          <w:numId w:val="5"/>
        </w:numPr>
        <w:rPr>
          <w:rFonts w:ascii="Times New Roman" w:hAnsi="Times New Roman"/>
        </w:rPr>
      </w:pPr>
      <w:r w:rsidRPr="003D15D0">
        <w:rPr>
          <w:rFonts w:ascii="Times New Roman" w:hAnsi="Times New Roman"/>
        </w:rPr>
        <w:t>Arts and Humanities Subcommittee 1</w:t>
      </w:r>
    </w:p>
    <w:p w14:paraId="0A2CF182"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English 1110.03 – approved</w:t>
      </w:r>
    </w:p>
    <w:p w14:paraId="7939B2DC"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 xml:space="preserve">English 3380 – approved with contingency </w:t>
      </w:r>
    </w:p>
    <w:p w14:paraId="358F8953"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 xml:space="preserve">AAAS 2050 – approved </w:t>
      </w:r>
    </w:p>
    <w:p w14:paraId="5E94021A"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Music 2050 – approved</w:t>
      </w:r>
    </w:p>
    <w:p w14:paraId="6F218E30"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 xml:space="preserve">English 3260 – approved </w:t>
      </w:r>
    </w:p>
    <w:p w14:paraId="7558B31B"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 xml:space="preserve">AAAS 3460 – approved with contingency </w:t>
      </w:r>
    </w:p>
    <w:p w14:paraId="1FA8B402" w14:textId="7162685C" w:rsidR="00AE4ED8" w:rsidRPr="003D15D0" w:rsidRDefault="00AE4ED8" w:rsidP="00AE4ED8">
      <w:pPr>
        <w:pStyle w:val="ListParagraph"/>
        <w:numPr>
          <w:ilvl w:val="2"/>
          <w:numId w:val="5"/>
        </w:numPr>
        <w:rPr>
          <w:rFonts w:ascii="Times New Roman" w:hAnsi="Times New Roman"/>
        </w:rPr>
      </w:pPr>
      <w:r w:rsidRPr="00AE4ED8">
        <w:rPr>
          <w:rFonts w:ascii="Times New Roman" w:hAnsi="Times New Roman"/>
        </w:rPr>
        <w:t xml:space="preserve">Music 3460 – approved with contingency </w:t>
      </w:r>
    </w:p>
    <w:p w14:paraId="260E7E94" w14:textId="465AA386" w:rsidR="00AE4ED8" w:rsidRPr="00AE4ED8" w:rsidRDefault="00AE4ED8" w:rsidP="00AE4ED8">
      <w:pPr>
        <w:pStyle w:val="ListParagraph"/>
        <w:numPr>
          <w:ilvl w:val="1"/>
          <w:numId w:val="5"/>
        </w:numPr>
        <w:rPr>
          <w:rFonts w:ascii="Times New Roman" w:hAnsi="Times New Roman"/>
        </w:rPr>
      </w:pPr>
      <w:r w:rsidRPr="003D15D0">
        <w:rPr>
          <w:rFonts w:ascii="Times New Roman" w:hAnsi="Times New Roman"/>
        </w:rPr>
        <w:t>Arts and Humanities Subcommittee 2</w:t>
      </w:r>
    </w:p>
    <w:p w14:paraId="151AC30B"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 xml:space="preserve">WGSS 3660 – approved </w:t>
      </w:r>
    </w:p>
    <w:p w14:paraId="3EB93737"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Near Eastern Languages and Cultures 3535 – approved with contingency</w:t>
      </w:r>
    </w:p>
    <w:p w14:paraId="628817FD"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 xml:space="preserve">AAAS 4343 – approved </w:t>
      </w:r>
    </w:p>
    <w:p w14:paraId="1A0D2B0A"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 xml:space="preserve">Religious Studies 4343 – approved </w:t>
      </w:r>
    </w:p>
    <w:p w14:paraId="503147B1" w14:textId="7F7BC2AD" w:rsidR="00AE4ED8" w:rsidRPr="00AE4ED8" w:rsidRDefault="00AE4ED8" w:rsidP="00AE4ED8">
      <w:pPr>
        <w:pStyle w:val="ListParagraph"/>
        <w:numPr>
          <w:ilvl w:val="1"/>
          <w:numId w:val="5"/>
        </w:numPr>
        <w:rPr>
          <w:rFonts w:ascii="Times New Roman" w:hAnsi="Times New Roman"/>
        </w:rPr>
      </w:pPr>
      <w:r w:rsidRPr="003D15D0">
        <w:rPr>
          <w:rFonts w:ascii="Times New Roman" w:hAnsi="Times New Roman"/>
        </w:rPr>
        <w:t xml:space="preserve">Natural and Mathematical Sciences Subcommittee </w:t>
      </w:r>
    </w:p>
    <w:p w14:paraId="0D98369B"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lastRenderedPageBreak/>
        <w:t xml:space="preserve">Geodetic Sciences 5652 – approved with contingency </w:t>
      </w:r>
    </w:p>
    <w:p w14:paraId="33222254" w14:textId="67ED8D5B" w:rsidR="00AE4ED8" w:rsidRPr="00AE4ED8" w:rsidRDefault="007D77E7" w:rsidP="00AE4ED8">
      <w:pPr>
        <w:pStyle w:val="ListParagraph"/>
        <w:numPr>
          <w:ilvl w:val="1"/>
          <w:numId w:val="5"/>
        </w:numPr>
        <w:rPr>
          <w:rFonts w:ascii="Times New Roman" w:hAnsi="Times New Roman"/>
        </w:rPr>
      </w:pPr>
      <w:r w:rsidRPr="003D15D0">
        <w:rPr>
          <w:rFonts w:ascii="Times New Roman" w:hAnsi="Times New Roman"/>
        </w:rPr>
        <w:t xml:space="preserve">Social and Behavioral Sciences Subcommittee </w:t>
      </w:r>
    </w:p>
    <w:p w14:paraId="3F8BBA8C"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Psychology 2303 – approved</w:t>
      </w:r>
    </w:p>
    <w:p w14:paraId="6E805204"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 xml:space="preserve">Civics, Law, and Leadership 2110 – approved with contingency </w:t>
      </w:r>
    </w:p>
    <w:p w14:paraId="4BD75665" w14:textId="0817699E" w:rsidR="00AE4ED8" w:rsidRPr="00AE4ED8" w:rsidRDefault="007D77E7" w:rsidP="00AE4ED8">
      <w:pPr>
        <w:pStyle w:val="ListParagraph"/>
        <w:numPr>
          <w:ilvl w:val="1"/>
          <w:numId w:val="5"/>
        </w:numPr>
        <w:rPr>
          <w:rFonts w:ascii="Times New Roman" w:hAnsi="Times New Roman"/>
        </w:rPr>
      </w:pPr>
      <w:r w:rsidRPr="003D15D0">
        <w:rPr>
          <w:rFonts w:ascii="Times New Roman" w:hAnsi="Times New Roman"/>
        </w:rPr>
        <w:t>Race, Ethnicity and Gender Diversity Subcommittee</w:t>
      </w:r>
    </w:p>
    <w:p w14:paraId="1F1A2CBF"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N/A</w:t>
      </w:r>
    </w:p>
    <w:p w14:paraId="4A335CE0" w14:textId="7F713A12" w:rsidR="00AE4ED8" w:rsidRPr="00AE4ED8" w:rsidRDefault="00AE4ED8" w:rsidP="00AE4ED8">
      <w:pPr>
        <w:pStyle w:val="ListParagraph"/>
        <w:numPr>
          <w:ilvl w:val="1"/>
          <w:numId w:val="5"/>
        </w:numPr>
        <w:rPr>
          <w:rFonts w:ascii="Times New Roman" w:hAnsi="Times New Roman"/>
        </w:rPr>
      </w:pPr>
      <w:r w:rsidRPr="00AE4ED8">
        <w:rPr>
          <w:rFonts w:ascii="Times New Roman" w:hAnsi="Times New Roman"/>
        </w:rPr>
        <w:t xml:space="preserve">Themes </w:t>
      </w:r>
      <w:r w:rsidR="007D77E7" w:rsidRPr="003D15D0">
        <w:rPr>
          <w:rFonts w:ascii="Times New Roman" w:hAnsi="Times New Roman"/>
        </w:rPr>
        <w:t xml:space="preserve">Subcommittee </w:t>
      </w:r>
      <w:r w:rsidRPr="00AE4ED8">
        <w:rPr>
          <w:rFonts w:ascii="Times New Roman" w:hAnsi="Times New Roman"/>
        </w:rPr>
        <w:t xml:space="preserve">1 </w:t>
      </w:r>
    </w:p>
    <w:p w14:paraId="2F7ECDC6"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 xml:space="preserve">Chinese 4409 – approved with contingency </w:t>
      </w:r>
    </w:p>
    <w:p w14:paraId="2EA8FAF3" w14:textId="4D7FD050" w:rsidR="00AE4ED8" w:rsidRPr="00AE4ED8" w:rsidRDefault="00AE4ED8" w:rsidP="00AE4ED8">
      <w:pPr>
        <w:pStyle w:val="ListParagraph"/>
        <w:numPr>
          <w:ilvl w:val="1"/>
          <w:numId w:val="5"/>
        </w:numPr>
        <w:rPr>
          <w:rFonts w:ascii="Times New Roman" w:hAnsi="Times New Roman"/>
        </w:rPr>
      </w:pPr>
      <w:r w:rsidRPr="00AE4ED8">
        <w:rPr>
          <w:rFonts w:ascii="Times New Roman" w:hAnsi="Times New Roman"/>
        </w:rPr>
        <w:t xml:space="preserve">Themes </w:t>
      </w:r>
      <w:r w:rsidR="007D77E7" w:rsidRPr="003D15D0">
        <w:rPr>
          <w:rFonts w:ascii="Times New Roman" w:hAnsi="Times New Roman"/>
        </w:rPr>
        <w:t xml:space="preserve">Subcommittee </w:t>
      </w:r>
      <w:r w:rsidRPr="00AE4ED8">
        <w:rPr>
          <w:rFonts w:ascii="Times New Roman" w:hAnsi="Times New Roman"/>
        </w:rPr>
        <w:t xml:space="preserve">2 </w:t>
      </w:r>
    </w:p>
    <w:p w14:paraId="23B003D6"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Comparative Studies 4444 – approved with contingency</w:t>
      </w:r>
    </w:p>
    <w:p w14:paraId="328FEE20" w14:textId="77777777" w:rsidR="00AE4ED8" w:rsidRPr="00AE4ED8" w:rsidRDefault="00AE4ED8" w:rsidP="00AE4ED8">
      <w:pPr>
        <w:pStyle w:val="ListParagraph"/>
        <w:numPr>
          <w:ilvl w:val="2"/>
          <w:numId w:val="5"/>
        </w:numPr>
        <w:rPr>
          <w:rFonts w:ascii="Times New Roman" w:hAnsi="Times New Roman"/>
        </w:rPr>
      </w:pPr>
      <w:r w:rsidRPr="00AE4ED8">
        <w:rPr>
          <w:rFonts w:ascii="Times New Roman" w:hAnsi="Times New Roman"/>
        </w:rPr>
        <w:t>Classics 4401 – approved with contingency</w:t>
      </w:r>
    </w:p>
    <w:p w14:paraId="785270C2" w14:textId="66CFB6FF" w:rsidR="00AE4ED8" w:rsidRPr="003D15D0" w:rsidRDefault="00AE4ED8" w:rsidP="00AE4ED8">
      <w:pPr>
        <w:pStyle w:val="ListParagraph"/>
        <w:numPr>
          <w:ilvl w:val="2"/>
          <w:numId w:val="5"/>
        </w:numPr>
        <w:rPr>
          <w:rFonts w:ascii="Times New Roman" w:hAnsi="Times New Roman"/>
        </w:rPr>
      </w:pPr>
      <w:r w:rsidRPr="00AE4ED8">
        <w:rPr>
          <w:rFonts w:ascii="Times New Roman" w:hAnsi="Times New Roman"/>
        </w:rPr>
        <w:t>ASL 4189S – approved with contingenc</w:t>
      </w:r>
      <w:r w:rsidRPr="003D15D0">
        <w:rPr>
          <w:rFonts w:ascii="Times New Roman" w:hAnsi="Times New Roman"/>
        </w:rPr>
        <w:t>y</w:t>
      </w:r>
    </w:p>
    <w:sectPr w:rsidR="00AE4ED8" w:rsidRPr="003D1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0081"/>
    <w:multiLevelType w:val="multilevel"/>
    <w:tmpl w:val="09D2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221FC"/>
    <w:multiLevelType w:val="hybridMultilevel"/>
    <w:tmpl w:val="0A34D7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C542EB"/>
    <w:multiLevelType w:val="hybridMultilevel"/>
    <w:tmpl w:val="809099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BD5C63"/>
    <w:multiLevelType w:val="hybridMultilevel"/>
    <w:tmpl w:val="1D862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D1CD3"/>
    <w:multiLevelType w:val="multilevel"/>
    <w:tmpl w:val="12A4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73F3E"/>
    <w:multiLevelType w:val="multilevel"/>
    <w:tmpl w:val="DF3CB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04581B"/>
    <w:multiLevelType w:val="multilevel"/>
    <w:tmpl w:val="748A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C654D"/>
    <w:multiLevelType w:val="multilevel"/>
    <w:tmpl w:val="9D2C27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38058754">
    <w:abstractNumId w:val="3"/>
  </w:num>
  <w:num w:numId="2" w16cid:durableId="2143422898">
    <w:abstractNumId w:val="0"/>
  </w:num>
  <w:num w:numId="3" w16cid:durableId="109493981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450520">
    <w:abstractNumId w:val="5"/>
  </w:num>
  <w:num w:numId="5" w16cid:durableId="1390306057">
    <w:abstractNumId w:val="1"/>
  </w:num>
  <w:num w:numId="6" w16cid:durableId="676272606">
    <w:abstractNumId w:val="2"/>
  </w:num>
  <w:num w:numId="7" w16cid:durableId="892421639">
    <w:abstractNumId w:val="4"/>
  </w:num>
  <w:num w:numId="8" w16cid:durableId="1580822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AE"/>
    <w:rsid w:val="00002DA8"/>
    <w:rsid w:val="00021821"/>
    <w:rsid w:val="00031A99"/>
    <w:rsid w:val="000543EB"/>
    <w:rsid w:val="00082AB4"/>
    <w:rsid w:val="000930DA"/>
    <w:rsid w:val="000D35AE"/>
    <w:rsid w:val="000E18E5"/>
    <w:rsid w:val="00137E5A"/>
    <w:rsid w:val="00164993"/>
    <w:rsid w:val="00182287"/>
    <w:rsid w:val="00183B6F"/>
    <w:rsid w:val="001B3B6A"/>
    <w:rsid w:val="001D4F41"/>
    <w:rsid w:val="0020079D"/>
    <w:rsid w:val="0023363F"/>
    <w:rsid w:val="00236804"/>
    <w:rsid w:val="00245047"/>
    <w:rsid w:val="002517AE"/>
    <w:rsid w:val="0027041E"/>
    <w:rsid w:val="00274068"/>
    <w:rsid w:val="00281B14"/>
    <w:rsid w:val="002F0036"/>
    <w:rsid w:val="003322BE"/>
    <w:rsid w:val="003C4EE5"/>
    <w:rsid w:val="003D15D0"/>
    <w:rsid w:val="003E16FB"/>
    <w:rsid w:val="003F6A53"/>
    <w:rsid w:val="00404CFF"/>
    <w:rsid w:val="004106E4"/>
    <w:rsid w:val="00425779"/>
    <w:rsid w:val="00452674"/>
    <w:rsid w:val="00462A58"/>
    <w:rsid w:val="004653A7"/>
    <w:rsid w:val="004729E8"/>
    <w:rsid w:val="00531404"/>
    <w:rsid w:val="0056783E"/>
    <w:rsid w:val="00583291"/>
    <w:rsid w:val="00587B75"/>
    <w:rsid w:val="00592268"/>
    <w:rsid w:val="00611CD3"/>
    <w:rsid w:val="006448E0"/>
    <w:rsid w:val="00657678"/>
    <w:rsid w:val="006733F6"/>
    <w:rsid w:val="006A4BD5"/>
    <w:rsid w:val="006B1E18"/>
    <w:rsid w:val="006E1EED"/>
    <w:rsid w:val="007253B2"/>
    <w:rsid w:val="0076567C"/>
    <w:rsid w:val="007C0377"/>
    <w:rsid w:val="007D77E7"/>
    <w:rsid w:val="008366AE"/>
    <w:rsid w:val="00861583"/>
    <w:rsid w:val="008A35E7"/>
    <w:rsid w:val="008B5297"/>
    <w:rsid w:val="008F1622"/>
    <w:rsid w:val="00A1369D"/>
    <w:rsid w:val="00A21B8E"/>
    <w:rsid w:val="00A24A39"/>
    <w:rsid w:val="00A96184"/>
    <w:rsid w:val="00AB2B04"/>
    <w:rsid w:val="00AE4ED8"/>
    <w:rsid w:val="00B10E7C"/>
    <w:rsid w:val="00B17C37"/>
    <w:rsid w:val="00B43CA2"/>
    <w:rsid w:val="00B46059"/>
    <w:rsid w:val="00B928BC"/>
    <w:rsid w:val="00B973EF"/>
    <w:rsid w:val="00BE3197"/>
    <w:rsid w:val="00C54A36"/>
    <w:rsid w:val="00C65CC3"/>
    <w:rsid w:val="00CB35E0"/>
    <w:rsid w:val="00CE578D"/>
    <w:rsid w:val="00CF5726"/>
    <w:rsid w:val="00D03D66"/>
    <w:rsid w:val="00D1474B"/>
    <w:rsid w:val="00D21F62"/>
    <w:rsid w:val="00D33FE2"/>
    <w:rsid w:val="00DA4E23"/>
    <w:rsid w:val="00DB4D2A"/>
    <w:rsid w:val="00DE1ACD"/>
    <w:rsid w:val="00E122DF"/>
    <w:rsid w:val="00E22A4C"/>
    <w:rsid w:val="00E50E14"/>
    <w:rsid w:val="00E61202"/>
    <w:rsid w:val="00E90738"/>
    <w:rsid w:val="00EB7028"/>
    <w:rsid w:val="00EC1ECF"/>
    <w:rsid w:val="00ED4C11"/>
    <w:rsid w:val="00EE62C8"/>
    <w:rsid w:val="00F63BC6"/>
    <w:rsid w:val="00F63BF0"/>
    <w:rsid w:val="00F661E9"/>
    <w:rsid w:val="00F67578"/>
    <w:rsid w:val="00F7742B"/>
    <w:rsid w:val="00FA5CD3"/>
    <w:rsid w:val="00FD17F8"/>
    <w:rsid w:val="00FE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5F2D"/>
  <w15:chartTrackingRefBased/>
  <w15:docId w15:val="{74627ACE-E9EC-4101-A8EA-B82CCB04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AE"/>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836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6AE"/>
    <w:rPr>
      <w:rFonts w:eastAsiaTheme="majorEastAsia" w:cstheme="majorBidi"/>
      <w:color w:val="272727" w:themeColor="text1" w:themeTint="D8"/>
    </w:rPr>
  </w:style>
  <w:style w:type="paragraph" w:styleId="Title">
    <w:name w:val="Title"/>
    <w:basedOn w:val="Normal"/>
    <w:next w:val="Normal"/>
    <w:link w:val="TitleChar"/>
    <w:uiPriority w:val="10"/>
    <w:qFormat/>
    <w:rsid w:val="00836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6AE"/>
    <w:pPr>
      <w:spacing w:before="160"/>
      <w:jc w:val="center"/>
    </w:pPr>
    <w:rPr>
      <w:i/>
      <w:iCs/>
      <w:color w:val="404040" w:themeColor="text1" w:themeTint="BF"/>
    </w:rPr>
  </w:style>
  <w:style w:type="character" w:customStyle="1" w:styleId="QuoteChar">
    <w:name w:val="Quote Char"/>
    <w:basedOn w:val="DefaultParagraphFont"/>
    <w:link w:val="Quote"/>
    <w:uiPriority w:val="29"/>
    <w:rsid w:val="008366AE"/>
    <w:rPr>
      <w:i/>
      <w:iCs/>
      <w:color w:val="404040" w:themeColor="text1" w:themeTint="BF"/>
    </w:rPr>
  </w:style>
  <w:style w:type="paragraph" w:styleId="ListParagraph">
    <w:name w:val="List Paragraph"/>
    <w:basedOn w:val="Normal"/>
    <w:uiPriority w:val="34"/>
    <w:qFormat/>
    <w:rsid w:val="008366AE"/>
    <w:pPr>
      <w:ind w:left="720"/>
      <w:contextualSpacing/>
    </w:pPr>
  </w:style>
  <w:style w:type="character" w:styleId="IntenseEmphasis">
    <w:name w:val="Intense Emphasis"/>
    <w:basedOn w:val="DefaultParagraphFont"/>
    <w:uiPriority w:val="21"/>
    <w:qFormat/>
    <w:rsid w:val="008366AE"/>
    <w:rPr>
      <w:i/>
      <w:iCs/>
      <w:color w:val="0F4761" w:themeColor="accent1" w:themeShade="BF"/>
    </w:rPr>
  </w:style>
  <w:style w:type="paragraph" w:styleId="IntenseQuote">
    <w:name w:val="Intense Quote"/>
    <w:basedOn w:val="Normal"/>
    <w:next w:val="Normal"/>
    <w:link w:val="IntenseQuoteChar"/>
    <w:uiPriority w:val="30"/>
    <w:qFormat/>
    <w:rsid w:val="00836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6AE"/>
    <w:rPr>
      <w:i/>
      <w:iCs/>
      <w:color w:val="0F4761" w:themeColor="accent1" w:themeShade="BF"/>
    </w:rPr>
  </w:style>
  <w:style w:type="character" w:styleId="IntenseReference">
    <w:name w:val="Intense Reference"/>
    <w:basedOn w:val="DefaultParagraphFont"/>
    <w:uiPriority w:val="32"/>
    <w:qFormat/>
    <w:rsid w:val="008366AE"/>
    <w:rPr>
      <w:b/>
      <w:bCs/>
      <w:smallCaps/>
      <w:color w:val="0F4761" w:themeColor="accent1" w:themeShade="BF"/>
      <w:spacing w:val="5"/>
    </w:rPr>
  </w:style>
  <w:style w:type="paragraph" w:styleId="NormalWeb">
    <w:name w:val="Normal (Web)"/>
    <w:basedOn w:val="Normal"/>
    <w:uiPriority w:val="99"/>
    <w:semiHidden/>
    <w:unhideWhenUsed/>
    <w:rsid w:val="000E18E5"/>
    <w:rPr>
      <w:rFonts w:ascii="Times New Roman" w:hAnsi="Times New Roman"/>
    </w:rPr>
  </w:style>
  <w:style w:type="character" w:styleId="CommentReference">
    <w:name w:val="annotation reference"/>
    <w:basedOn w:val="DefaultParagraphFont"/>
    <w:uiPriority w:val="99"/>
    <w:semiHidden/>
    <w:unhideWhenUsed/>
    <w:rsid w:val="00FA5CD3"/>
    <w:rPr>
      <w:sz w:val="16"/>
      <w:szCs w:val="16"/>
    </w:rPr>
  </w:style>
  <w:style w:type="paragraph" w:styleId="CommentText">
    <w:name w:val="annotation text"/>
    <w:basedOn w:val="Normal"/>
    <w:link w:val="CommentTextChar"/>
    <w:uiPriority w:val="99"/>
    <w:unhideWhenUsed/>
    <w:rsid w:val="00FA5CD3"/>
    <w:pPr>
      <w:spacing w:line="240" w:lineRule="auto"/>
    </w:pPr>
    <w:rPr>
      <w:sz w:val="20"/>
      <w:szCs w:val="20"/>
    </w:rPr>
  </w:style>
  <w:style w:type="character" w:customStyle="1" w:styleId="CommentTextChar">
    <w:name w:val="Comment Text Char"/>
    <w:basedOn w:val="DefaultParagraphFont"/>
    <w:link w:val="CommentText"/>
    <w:uiPriority w:val="99"/>
    <w:rsid w:val="00FA5CD3"/>
    <w:rPr>
      <w:rFonts w:ascii="Aptos" w:eastAsia="Aptos" w:hAnsi="Aptos" w:cs="Times New Roman"/>
      <w:sz w:val="20"/>
      <w:szCs w:val="20"/>
    </w:rPr>
  </w:style>
  <w:style w:type="paragraph" w:styleId="CommentSubject">
    <w:name w:val="annotation subject"/>
    <w:basedOn w:val="CommentText"/>
    <w:next w:val="CommentText"/>
    <w:link w:val="CommentSubjectChar"/>
    <w:uiPriority w:val="99"/>
    <w:semiHidden/>
    <w:unhideWhenUsed/>
    <w:rsid w:val="00FA5CD3"/>
    <w:rPr>
      <w:b/>
      <w:bCs/>
    </w:rPr>
  </w:style>
  <w:style w:type="character" w:customStyle="1" w:styleId="CommentSubjectChar">
    <w:name w:val="Comment Subject Char"/>
    <w:basedOn w:val="CommentTextChar"/>
    <w:link w:val="CommentSubject"/>
    <w:uiPriority w:val="99"/>
    <w:semiHidden/>
    <w:rsid w:val="00FA5CD3"/>
    <w:rPr>
      <w:rFonts w:ascii="Aptos" w:eastAsia="Aptos" w:hAnsi="Apto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61416">
      <w:bodyDiv w:val="1"/>
      <w:marLeft w:val="0"/>
      <w:marRight w:val="0"/>
      <w:marTop w:val="0"/>
      <w:marBottom w:val="0"/>
      <w:divBdr>
        <w:top w:val="none" w:sz="0" w:space="0" w:color="auto"/>
        <w:left w:val="none" w:sz="0" w:space="0" w:color="auto"/>
        <w:bottom w:val="none" w:sz="0" w:space="0" w:color="auto"/>
        <w:right w:val="none" w:sz="0" w:space="0" w:color="auto"/>
      </w:divBdr>
    </w:div>
    <w:div w:id="225184476">
      <w:bodyDiv w:val="1"/>
      <w:marLeft w:val="0"/>
      <w:marRight w:val="0"/>
      <w:marTop w:val="0"/>
      <w:marBottom w:val="0"/>
      <w:divBdr>
        <w:top w:val="none" w:sz="0" w:space="0" w:color="auto"/>
        <w:left w:val="none" w:sz="0" w:space="0" w:color="auto"/>
        <w:bottom w:val="none" w:sz="0" w:space="0" w:color="auto"/>
        <w:right w:val="none" w:sz="0" w:space="0" w:color="auto"/>
      </w:divBdr>
    </w:div>
    <w:div w:id="288560228">
      <w:bodyDiv w:val="1"/>
      <w:marLeft w:val="0"/>
      <w:marRight w:val="0"/>
      <w:marTop w:val="0"/>
      <w:marBottom w:val="0"/>
      <w:divBdr>
        <w:top w:val="none" w:sz="0" w:space="0" w:color="auto"/>
        <w:left w:val="none" w:sz="0" w:space="0" w:color="auto"/>
        <w:bottom w:val="none" w:sz="0" w:space="0" w:color="auto"/>
        <w:right w:val="none" w:sz="0" w:space="0" w:color="auto"/>
      </w:divBdr>
    </w:div>
    <w:div w:id="327178119">
      <w:bodyDiv w:val="1"/>
      <w:marLeft w:val="0"/>
      <w:marRight w:val="0"/>
      <w:marTop w:val="0"/>
      <w:marBottom w:val="0"/>
      <w:divBdr>
        <w:top w:val="none" w:sz="0" w:space="0" w:color="auto"/>
        <w:left w:val="none" w:sz="0" w:space="0" w:color="auto"/>
        <w:bottom w:val="none" w:sz="0" w:space="0" w:color="auto"/>
        <w:right w:val="none" w:sz="0" w:space="0" w:color="auto"/>
      </w:divBdr>
    </w:div>
    <w:div w:id="414479933">
      <w:bodyDiv w:val="1"/>
      <w:marLeft w:val="0"/>
      <w:marRight w:val="0"/>
      <w:marTop w:val="0"/>
      <w:marBottom w:val="0"/>
      <w:divBdr>
        <w:top w:val="none" w:sz="0" w:space="0" w:color="auto"/>
        <w:left w:val="none" w:sz="0" w:space="0" w:color="auto"/>
        <w:bottom w:val="none" w:sz="0" w:space="0" w:color="auto"/>
        <w:right w:val="none" w:sz="0" w:space="0" w:color="auto"/>
      </w:divBdr>
    </w:div>
    <w:div w:id="571621087">
      <w:bodyDiv w:val="1"/>
      <w:marLeft w:val="0"/>
      <w:marRight w:val="0"/>
      <w:marTop w:val="0"/>
      <w:marBottom w:val="0"/>
      <w:divBdr>
        <w:top w:val="none" w:sz="0" w:space="0" w:color="auto"/>
        <w:left w:val="none" w:sz="0" w:space="0" w:color="auto"/>
        <w:bottom w:val="none" w:sz="0" w:space="0" w:color="auto"/>
        <w:right w:val="none" w:sz="0" w:space="0" w:color="auto"/>
      </w:divBdr>
    </w:div>
    <w:div w:id="587079330">
      <w:bodyDiv w:val="1"/>
      <w:marLeft w:val="0"/>
      <w:marRight w:val="0"/>
      <w:marTop w:val="0"/>
      <w:marBottom w:val="0"/>
      <w:divBdr>
        <w:top w:val="none" w:sz="0" w:space="0" w:color="auto"/>
        <w:left w:val="none" w:sz="0" w:space="0" w:color="auto"/>
        <w:bottom w:val="none" w:sz="0" w:space="0" w:color="auto"/>
        <w:right w:val="none" w:sz="0" w:space="0" w:color="auto"/>
      </w:divBdr>
    </w:div>
    <w:div w:id="753168935">
      <w:bodyDiv w:val="1"/>
      <w:marLeft w:val="0"/>
      <w:marRight w:val="0"/>
      <w:marTop w:val="0"/>
      <w:marBottom w:val="0"/>
      <w:divBdr>
        <w:top w:val="none" w:sz="0" w:space="0" w:color="auto"/>
        <w:left w:val="none" w:sz="0" w:space="0" w:color="auto"/>
        <w:bottom w:val="none" w:sz="0" w:space="0" w:color="auto"/>
        <w:right w:val="none" w:sz="0" w:space="0" w:color="auto"/>
      </w:divBdr>
    </w:div>
    <w:div w:id="807164347">
      <w:bodyDiv w:val="1"/>
      <w:marLeft w:val="0"/>
      <w:marRight w:val="0"/>
      <w:marTop w:val="0"/>
      <w:marBottom w:val="0"/>
      <w:divBdr>
        <w:top w:val="none" w:sz="0" w:space="0" w:color="auto"/>
        <w:left w:val="none" w:sz="0" w:space="0" w:color="auto"/>
        <w:bottom w:val="none" w:sz="0" w:space="0" w:color="auto"/>
        <w:right w:val="none" w:sz="0" w:space="0" w:color="auto"/>
      </w:divBdr>
    </w:div>
    <w:div w:id="807357241">
      <w:bodyDiv w:val="1"/>
      <w:marLeft w:val="0"/>
      <w:marRight w:val="0"/>
      <w:marTop w:val="0"/>
      <w:marBottom w:val="0"/>
      <w:divBdr>
        <w:top w:val="none" w:sz="0" w:space="0" w:color="auto"/>
        <w:left w:val="none" w:sz="0" w:space="0" w:color="auto"/>
        <w:bottom w:val="none" w:sz="0" w:space="0" w:color="auto"/>
        <w:right w:val="none" w:sz="0" w:space="0" w:color="auto"/>
      </w:divBdr>
    </w:div>
    <w:div w:id="902984059">
      <w:bodyDiv w:val="1"/>
      <w:marLeft w:val="0"/>
      <w:marRight w:val="0"/>
      <w:marTop w:val="0"/>
      <w:marBottom w:val="0"/>
      <w:divBdr>
        <w:top w:val="none" w:sz="0" w:space="0" w:color="auto"/>
        <w:left w:val="none" w:sz="0" w:space="0" w:color="auto"/>
        <w:bottom w:val="none" w:sz="0" w:space="0" w:color="auto"/>
        <w:right w:val="none" w:sz="0" w:space="0" w:color="auto"/>
      </w:divBdr>
    </w:div>
    <w:div w:id="1008755658">
      <w:bodyDiv w:val="1"/>
      <w:marLeft w:val="0"/>
      <w:marRight w:val="0"/>
      <w:marTop w:val="0"/>
      <w:marBottom w:val="0"/>
      <w:divBdr>
        <w:top w:val="none" w:sz="0" w:space="0" w:color="auto"/>
        <w:left w:val="none" w:sz="0" w:space="0" w:color="auto"/>
        <w:bottom w:val="none" w:sz="0" w:space="0" w:color="auto"/>
        <w:right w:val="none" w:sz="0" w:space="0" w:color="auto"/>
      </w:divBdr>
    </w:div>
    <w:div w:id="1309942150">
      <w:bodyDiv w:val="1"/>
      <w:marLeft w:val="0"/>
      <w:marRight w:val="0"/>
      <w:marTop w:val="0"/>
      <w:marBottom w:val="0"/>
      <w:divBdr>
        <w:top w:val="none" w:sz="0" w:space="0" w:color="auto"/>
        <w:left w:val="none" w:sz="0" w:space="0" w:color="auto"/>
        <w:bottom w:val="none" w:sz="0" w:space="0" w:color="auto"/>
        <w:right w:val="none" w:sz="0" w:space="0" w:color="auto"/>
      </w:divBdr>
    </w:div>
    <w:div w:id="1355381704">
      <w:bodyDiv w:val="1"/>
      <w:marLeft w:val="0"/>
      <w:marRight w:val="0"/>
      <w:marTop w:val="0"/>
      <w:marBottom w:val="0"/>
      <w:divBdr>
        <w:top w:val="none" w:sz="0" w:space="0" w:color="auto"/>
        <w:left w:val="none" w:sz="0" w:space="0" w:color="auto"/>
        <w:bottom w:val="none" w:sz="0" w:space="0" w:color="auto"/>
        <w:right w:val="none" w:sz="0" w:space="0" w:color="auto"/>
      </w:divBdr>
    </w:div>
    <w:div w:id="1368144437">
      <w:bodyDiv w:val="1"/>
      <w:marLeft w:val="0"/>
      <w:marRight w:val="0"/>
      <w:marTop w:val="0"/>
      <w:marBottom w:val="0"/>
      <w:divBdr>
        <w:top w:val="none" w:sz="0" w:space="0" w:color="auto"/>
        <w:left w:val="none" w:sz="0" w:space="0" w:color="auto"/>
        <w:bottom w:val="none" w:sz="0" w:space="0" w:color="auto"/>
        <w:right w:val="none" w:sz="0" w:space="0" w:color="auto"/>
      </w:divBdr>
    </w:div>
    <w:div w:id="1394308768">
      <w:bodyDiv w:val="1"/>
      <w:marLeft w:val="0"/>
      <w:marRight w:val="0"/>
      <w:marTop w:val="0"/>
      <w:marBottom w:val="0"/>
      <w:divBdr>
        <w:top w:val="none" w:sz="0" w:space="0" w:color="auto"/>
        <w:left w:val="none" w:sz="0" w:space="0" w:color="auto"/>
        <w:bottom w:val="none" w:sz="0" w:space="0" w:color="auto"/>
        <w:right w:val="none" w:sz="0" w:space="0" w:color="auto"/>
      </w:divBdr>
    </w:div>
    <w:div w:id="1429618837">
      <w:bodyDiv w:val="1"/>
      <w:marLeft w:val="0"/>
      <w:marRight w:val="0"/>
      <w:marTop w:val="0"/>
      <w:marBottom w:val="0"/>
      <w:divBdr>
        <w:top w:val="none" w:sz="0" w:space="0" w:color="auto"/>
        <w:left w:val="none" w:sz="0" w:space="0" w:color="auto"/>
        <w:bottom w:val="none" w:sz="0" w:space="0" w:color="auto"/>
        <w:right w:val="none" w:sz="0" w:space="0" w:color="auto"/>
      </w:divBdr>
    </w:div>
    <w:div w:id="1454908259">
      <w:bodyDiv w:val="1"/>
      <w:marLeft w:val="0"/>
      <w:marRight w:val="0"/>
      <w:marTop w:val="0"/>
      <w:marBottom w:val="0"/>
      <w:divBdr>
        <w:top w:val="none" w:sz="0" w:space="0" w:color="auto"/>
        <w:left w:val="none" w:sz="0" w:space="0" w:color="auto"/>
        <w:bottom w:val="none" w:sz="0" w:space="0" w:color="auto"/>
        <w:right w:val="none" w:sz="0" w:space="0" w:color="auto"/>
      </w:divBdr>
    </w:div>
    <w:div w:id="1469125013">
      <w:bodyDiv w:val="1"/>
      <w:marLeft w:val="0"/>
      <w:marRight w:val="0"/>
      <w:marTop w:val="0"/>
      <w:marBottom w:val="0"/>
      <w:divBdr>
        <w:top w:val="none" w:sz="0" w:space="0" w:color="auto"/>
        <w:left w:val="none" w:sz="0" w:space="0" w:color="auto"/>
        <w:bottom w:val="none" w:sz="0" w:space="0" w:color="auto"/>
        <w:right w:val="none" w:sz="0" w:space="0" w:color="auto"/>
      </w:divBdr>
    </w:div>
    <w:div w:id="1686907023">
      <w:bodyDiv w:val="1"/>
      <w:marLeft w:val="0"/>
      <w:marRight w:val="0"/>
      <w:marTop w:val="0"/>
      <w:marBottom w:val="0"/>
      <w:divBdr>
        <w:top w:val="none" w:sz="0" w:space="0" w:color="auto"/>
        <w:left w:val="none" w:sz="0" w:space="0" w:color="auto"/>
        <w:bottom w:val="none" w:sz="0" w:space="0" w:color="auto"/>
        <w:right w:val="none" w:sz="0" w:space="0" w:color="auto"/>
      </w:divBdr>
    </w:div>
    <w:div w:id="1699238155">
      <w:bodyDiv w:val="1"/>
      <w:marLeft w:val="0"/>
      <w:marRight w:val="0"/>
      <w:marTop w:val="0"/>
      <w:marBottom w:val="0"/>
      <w:divBdr>
        <w:top w:val="none" w:sz="0" w:space="0" w:color="auto"/>
        <w:left w:val="none" w:sz="0" w:space="0" w:color="auto"/>
        <w:bottom w:val="none" w:sz="0" w:space="0" w:color="auto"/>
        <w:right w:val="none" w:sz="0" w:space="0" w:color="auto"/>
      </w:divBdr>
    </w:div>
    <w:div w:id="1786270345">
      <w:bodyDiv w:val="1"/>
      <w:marLeft w:val="0"/>
      <w:marRight w:val="0"/>
      <w:marTop w:val="0"/>
      <w:marBottom w:val="0"/>
      <w:divBdr>
        <w:top w:val="none" w:sz="0" w:space="0" w:color="auto"/>
        <w:left w:val="none" w:sz="0" w:space="0" w:color="auto"/>
        <w:bottom w:val="none" w:sz="0" w:space="0" w:color="auto"/>
        <w:right w:val="none" w:sz="0" w:space="0" w:color="auto"/>
      </w:divBdr>
    </w:div>
    <w:div w:id="1804424239">
      <w:bodyDiv w:val="1"/>
      <w:marLeft w:val="0"/>
      <w:marRight w:val="0"/>
      <w:marTop w:val="0"/>
      <w:marBottom w:val="0"/>
      <w:divBdr>
        <w:top w:val="none" w:sz="0" w:space="0" w:color="auto"/>
        <w:left w:val="none" w:sz="0" w:space="0" w:color="auto"/>
        <w:bottom w:val="none" w:sz="0" w:space="0" w:color="auto"/>
        <w:right w:val="none" w:sz="0" w:space="0" w:color="auto"/>
      </w:divBdr>
    </w:div>
    <w:div w:id="1887568108">
      <w:bodyDiv w:val="1"/>
      <w:marLeft w:val="0"/>
      <w:marRight w:val="0"/>
      <w:marTop w:val="0"/>
      <w:marBottom w:val="0"/>
      <w:divBdr>
        <w:top w:val="none" w:sz="0" w:space="0" w:color="auto"/>
        <w:left w:val="none" w:sz="0" w:space="0" w:color="auto"/>
        <w:bottom w:val="none" w:sz="0" w:space="0" w:color="auto"/>
        <w:right w:val="none" w:sz="0" w:space="0" w:color="auto"/>
      </w:divBdr>
    </w:div>
    <w:div w:id="1906601897">
      <w:bodyDiv w:val="1"/>
      <w:marLeft w:val="0"/>
      <w:marRight w:val="0"/>
      <w:marTop w:val="0"/>
      <w:marBottom w:val="0"/>
      <w:divBdr>
        <w:top w:val="none" w:sz="0" w:space="0" w:color="auto"/>
        <w:left w:val="none" w:sz="0" w:space="0" w:color="auto"/>
        <w:bottom w:val="none" w:sz="0" w:space="0" w:color="auto"/>
        <w:right w:val="none" w:sz="0" w:space="0" w:color="auto"/>
      </w:divBdr>
    </w:div>
    <w:div w:id="2034842494">
      <w:bodyDiv w:val="1"/>
      <w:marLeft w:val="0"/>
      <w:marRight w:val="0"/>
      <w:marTop w:val="0"/>
      <w:marBottom w:val="0"/>
      <w:divBdr>
        <w:top w:val="none" w:sz="0" w:space="0" w:color="auto"/>
        <w:left w:val="none" w:sz="0" w:space="0" w:color="auto"/>
        <w:bottom w:val="none" w:sz="0" w:space="0" w:color="auto"/>
        <w:right w:val="none" w:sz="0" w:space="0" w:color="auto"/>
      </w:divBdr>
    </w:div>
    <w:div w:id="2055999907">
      <w:bodyDiv w:val="1"/>
      <w:marLeft w:val="0"/>
      <w:marRight w:val="0"/>
      <w:marTop w:val="0"/>
      <w:marBottom w:val="0"/>
      <w:divBdr>
        <w:top w:val="none" w:sz="0" w:space="0" w:color="auto"/>
        <w:left w:val="none" w:sz="0" w:space="0" w:color="auto"/>
        <w:bottom w:val="none" w:sz="0" w:space="0" w:color="auto"/>
        <w:right w:val="none" w:sz="0" w:space="0" w:color="auto"/>
      </w:divBdr>
    </w:div>
    <w:div w:id="2059935276">
      <w:bodyDiv w:val="1"/>
      <w:marLeft w:val="0"/>
      <w:marRight w:val="0"/>
      <w:marTop w:val="0"/>
      <w:marBottom w:val="0"/>
      <w:divBdr>
        <w:top w:val="none" w:sz="0" w:space="0" w:color="auto"/>
        <w:left w:val="none" w:sz="0" w:space="0" w:color="auto"/>
        <w:bottom w:val="none" w:sz="0" w:space="0" w:color="auto"/>
        <w:right w:val="none" w:sz="0" w:space="0" w:color="auto"/>
      </w:divBdr>
    </w:div>
    <w:div w:id="2091583276">
      <w:bodyDiv w:val="1"/>
      <w:marLeft w:val="0"/>
      <w:marRight w:val="0"/>
      <w:marTop w:val="0"/>
      <w:marBottom w:val="0"/>
      <w:divBdr>
        <w:top w:val="none" w:sz="0" w:space="0" w:color="auto"/>
        <w:left w:val="none" w:sz="0" w:space="0" w:color="auto"/>
        <w:bottom w:val="none" w:sz="0" w:space="0" w:color="auto"/>
        <w:right w:val="none" w:sz="0" w:space="0" w:color="auto"/>
      </w:divBdr>
    </w:div>
    <w:div w:id="2112117330">
      <w:bodyDiv w:val="1"/>
      <w:marLeft w:val="0"/>
      <w:marRight w:val="0"/>
      <w:marTop w:val="0"/>
      <w:marBottom w:val="0"/>
      <w:divBdr>
        <w:top w:val="none" w:sz="0" w:space="0" w:color="auto"/>
        <w:left w:val="none" w:sz="0" w:space="0" w:color="auto"/>
        <w:bottom w:val="none" w:sz="0" w:space="0" w:color="auto"/>
        <w:right w:val="none" w:sz="0" w:space="0" w:color="auto"/>
      </w:divBdr>
    </w:div>
    <w:div w:id="212634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B9C07-BD3B-49EF-BDF2-7B58419C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4</cp:revision>
  <dcterms:created xsi:type="dcterms:W3CDTF">2025-11-20T20:51:00Z</dcterms:created>
  <dcterms:modified xsi:type="dcterms:W3CDTF">2025-11-21T13:35:00Z</dcterms:modified>
</cp:coreProperties>
</file>